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7E5" w:rsidRDefault="00DE47E5" w:rsidP="008C593A">
      <w:pPr>
        <w:jc w:val="center"/>
        <w:rPr>
          <w:b/>
          <w:lang w:val="fr-BE"/>
        </w:rPr>
      </w:pPr>
    </w:p>
    <w:p w:rsidR="00DE47E5" w:rsidRDefault="00DE47E5" w:rsidP="008C593A">
      <w:pPr>
        <w:jc w:val="center"/>
        <w:rPr>
          <w:b/>
          <w:lang w:val="fr-BE"/>
        </w:rPr>
      </w:pPr>
    </w:p>
    <w:p w:rsidR="00197DFC" w:rsidRDefault="00197DFC" w:rsidP="008C593A">
      <w:pPr>
        <w:jc w:val="center"/>
        <w:rPr>
          <w:b/>
          <w:sz w:val="28"/>
          <w:szCs w:val="28"/>
          <w:lang w:val="fr-BE"/>
        </w:rPr>
      </w:pPr>
      <w:r w:rsidRPr="00DE47E5">
        <w:rPr>
          <w:b/>
          <w:sz w:val="28"/>
          <w:szCs w:val="28"/>
          <w:lang w:val="fr-BE"/>
        </w:rPr>
        <w:t>USA-UE : l</w:t>
      </w:r>
      <w:r w:rsidR="003E7BB3" w:rsidRPr="00DE47E5">
        <w:rPr>
          <w:b/>
          <w:sz w:val="28"/>
          <w:szCs w:val="28"/>
          <w:lang w:val="fr-BE"/>
        </w:rPr>
        <w:t>’Europe à l’heure GMT ?</w:t>
      </w:r>
    </w:p>
    <w:p w:rsidR="00754416" w:rsidRPr="00DE47E5" w:rsidRDefault="00754416" w:rsidP="008C593A">
      <w:pPr>
        <w:jc w:val="center"/>
        <w:rPr>
          <w:b/>
          <w:sz w:val="28"/>
          <w:szCs w:val="28"/>
          <w:lang w:val="fr-BE"/>
        </w:rPr>
      </w:pPr>
      <w:r>
        <w:rPr>
          <w:noProof/>
          <w:lang w:eastAsia="fr-FR"/>
        </w:rPr>
        <w:drawing>
          <wp:inline distT="0" distB="0" distL="0" distR="0">
            <wp:extent cx="4362450" cy="1714500"/>
            <wp:effectExtent l="19050" t="0" r="0" b="0"/>
            <wp:docPr id="4" name="Picture 4" descr="First round of TTIP negotiations to take place week of July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rst round of TTIP negotiations to take place week of July 8"/>
                    <pic:cNvPicPr>
                      <a:picLocks noChangeAspect="1" noChangeArrowheads="1"/>
                    </pic:cNvPicPr>
                  </pic:nvPicPr>
                  <pic:blipFill>
                    <a:blip r:embed="rId8" cstate="print"/>
                    <a:srcRect/>
                    <a:stretch>
                      <a:fillRect/>
                    </a:stretch>
                  </pic:blipFill>
                  <pic:spPr bwMode="auto">
                    <a:xfrm>
                      <a:off x="0" y="0"/>
                      <a:ext cx="4362450" cy="1714500"/>
                    </a:xfrm>
                    <a:prstGeom prst="rect">
                      <a:avLst/>
                    </a:prstGeom>
                    <a:noFill/>
                    <a:ln w="9525">
                      <a:noFill/>
                      <a:miter lim="800000"/>
                      <a:headEnd/>
                      <a:tailEnd/>
                    </a:ln>
                  </pic:spPr>
                </pic:pic>
              </a:graphicData>
            </a:graphic>
          </wp:inline>
        </w:drawing>
      </w:r>
    </w:p>
    <w:p w:rsidR="003C7287" w:rsidRPr="007974B6" w:rsidRDefault="0086626A">
      <w:pPr>
        <w:rPr>
          <w:lang w:val="fr-BE"/>
        </w:rPr>
      </w:pPr>
      <w:r>
        <w:rPr>
          <w:lang w:val="fr-BE"/>
        </w:rPr>
        <w:t xml:space="preserve">Après le feu vert du Parlement Européen le 23 mai 2013, </w:t>
      </w:r>
      <w:r w:rsidR="00954E37" w:rsidRPr="007974B6">
        <w:rPr>
          <w:lang w:val="fr-BE"/>
        </w:rPr>
        <w:t xml:space="preserve">les ministres du </w:t>
      </w:r>
      <w:r w:rsidR="00197DFC" w:rsidRPr="007974B6">
        <w:rPr>
          <w:lang w:val="fr-BE"/>
        </w:rPr>
        <w:t>c</w:t>
      </w:r>
      <w:r w:rsidR="00954E37" w:rsidRPr="007974B6">
        <w:rPr>
          <w:lang w:val="fr-BE"/>
        </w:rPr>
        <w:t xml:space="preserve">ommerce extérieur des Etats membres de l’Union Européenne ont confié </w:t>
      </w:r>
      <w:r>
        <w:rPr>
          <w:lang w:val="fr-BE"/>
        </w:rPr>
        <w:t xml:space="preserve">le 14 juin </w:t>
      </w:r>
      <w:r w:rsidR="00954E37" w:rsidRPr="007974B6">
        <w:rPr>
          <w:lang w:val="fr-BE"/>
        </w:rPr>
        <w:t xml:space="preserve">au Commissaire européen en charge du commerce, Karel De </w:t>
      </w:r>
      <w:proofErr w:type="spellStart"/>
      <w:r w:rsidR="00954E37" w:rsidRPr="007974B6">
        <w:rPr>
          <w:lang w:val="fr-BE"/>
        </w:rPr>
        <w:t>Gucht</w:t>
      </w:r>
      <w:proofErr w:type="spellEnd"/>
      <w:r w:rsidR="00954E37" w:rsidRPr="007974B6">
        <w:rPr>
          <w:lang w:val="fr-BE"/>
        </w:rPr>
        <w:t>,</w:t>
      </w:r>
      <w:r w:rsidR="00C67ED0" w:rsidRPr="007974B6">
        <w:rPr>
          <w:lang w:val="fr-BE"/>
        </w:rPr>
        <w:t xml:space="preserve"> le mandat</w:t>
      </w:r>
      <w:r w:rsidR="00954E37" w:rsidRPr="007974B6">
        <w:rPr>
          <w:lang w:val="fr-BE"/>
        </w:rPr>
        <w:t xml:space="preserve"> de négocier avec son homologue des USA  un accord de libre-échange</w:t>
      </w:r>
      <w:r w:rsidR="00954E37" w:rsidRPr="007974B6">
        <w:rPr>
          <w:rStyle w:val="FootnoteReference"/>
          <w:lang w:val="fr-BE"/>
        </w:rPr>
        <w:footnoteReference w:id="1"/>
      </w:r>
      <w:r w:rsidR="00954E37" w:rsidRPr="007974B6">
        <w:rPr>
          <w:lang w:val="fr-BE"/>
        </w:rPr>
        <w:t xml:space="preserve"> transatlantique, qu’on appelle  aussi </w:t>
      </w:r>
      <w:r w:rsidR="00954E37" w:rsidRPr="007974B6">
        <w:rPr>
          <w:b/>
          <w:lang w:val="fr-BE"/>
        </w:rPr>
        <w:t>Grand Marché Transatlantique</w:t>
      </w:r>
      <w:r w:rsidR="00954E37" w:rsidRPr="007974B6">
        <w:rPr>
          <w:lang w:val="fr-BE"/>
        </w:rPr>
        <w:t xml:space="preserve"> (GMT). Officiellement dénommé « Accord de partenariat transatlantique pour le commerce et l’investissement» (TTIP en anglais)</w:t>
      </w:r>
      <w:r w:rsidR="00C67ED0" w:rsidRPr="007974B6">
        <w:rPr>
          <w:lang w:val="fr-BE"/>
        </w:rPr>
        <w:t xml:space="preserve">, il est le pendant </w:t>
      </w:r>
      <w:r w:rsidR="00197DFC" w:rsidRPr="007974B6">
        <w:rPr>
          <w:lang w:val="fr-BE"/>
        </w:rPr>
        <w:t xml:space="preserve">pour les USA </w:t>
      </w:r>
      <w:r w:rsidR="00C67ED0" w:rsidRPr="007974B6">
        <w:rPr>
          <w:lang w:val="fr-BE"/>
        </w:rPr>
        <w:t xml:space="preserve">de l’accord </w:t>
      </w:r>
      <w:r w:rsidR="00197DFC" w:rsidRPr="007974B6">
        <w:rPr>
          <w:lang w:val="fr-BE"/>
        </w:rPr>
        <w:t xml:space="preserve">de « partenariat </w:t>
      </w:r>
      <w:proofErr w:type="spellStart"/>
      <w:r w:rsidR="00C67ED0" w:rsidRPr="007974B6">
        <w:rPr>
          <w:lang w:val="fr-BE"/>
        </w:rPr>
        <w:t>trans</w:t>
      </w:r>
      <w:proofErr w:type="spellEnd"/>
      <w:r w:rsidR="00197DFC" w:rsidRPr="007974B6">
        <w:rPr>
          <w:lang w:val="fr-BE"/>
        </w:rPr>
        <w:t>-</w:t>
      </w:r>
      <w:r w:rsidR="00C67ED0" w:rsidRPr="007974B6">
        <w:rPr>
          <w:lang w:val="fr-BE"/>
        </w:rPr>
        <w:t>pacifique</w:t>
      </w:r>
      <w:r w:rsidR="00197DFC" w:rsidRPr="007974B6">
        <w:rPr>
          <w:lang w:val="fr-BE"/>
        </w:rPr>
        <w:t> </w:t>
      </w:r>
      <w:r w:rsidR="006D5BC2" w:rsidRPr="007974B6">
        <w:rPr>
          <w:lang w:val="fr-BE"/>
        </w:rPr>
        <w:t>- TPP</w:t>
      </w:r>
      <w:r w:rsidR="00197DFC" w:rsidRPr="007974B6">
        <w:rPr>
          <w:lang w:val="fr-BE"/>
        </w:rPr>
        <w:t>»</w:t>
      </w:r>
      <w:r w:rsidR="00C67ED0" w:rsidRPr="007974B6">
        <w:rPr>
          <w:lang w:val="fr-BE"/>
        </w:rPr>
        <w:t xml:space="preserve"> en cours de ratification dans 12 pays</w:t>
      </w:r>
      <w:r w:rsidR="00EE7ABC">
        <w:rPr>
          <w:lang w:val="fr-BE"/>
        </w:rPr>
        <w:t xml:space="preserve"> d’Asie</w:t>
      </w:r>
      <w:r w:rsidR="00C67ED0" w:rsidRPr="007974B6">
        <w:rPr>
          <w:lang w:val="fr-BE"/>
        </w:rPr>
        <w:t>.</w:t>
      </w:r>
      <w:r w:rsidR="003C7287" w:rsidRPr="007974B6">
        <w:rPr>
          <w:lang w:val="fr-BE"/>
        </w:rPr>
        <w:t xml:space="preserve"> La 3</w:t>
      </w:r>
      <w:r w:rsidR="003C7287" w:rsidRPr="007974B6">
        <w:rPr>
          <w:vertAlign w:val="superscript"/>
          <w:lang w:val="fr-BE"/>
        </w:rPr>
        <w:t>e</w:t>
      </w:r>
      <w:r w:rsidR="003C7287" w:rsidRPr="007974B6">
        <w:rPr>
          <w:lang w:val="fr-BE"/>
        </w:rPr>
        <w:t xml:space="preserve"> séance de négociations aura lieu à Bruxelles du 10 au 14 mars et le Président </w:t>
      </w:r>
      <w:proofErr w:type="spellStart"/>
      <w:r w:rsidR="003C7287" w:rsidRPr="007974B6">
        <w:rPr>
          <w:lang w:val="fr-BE"/>
        </w:rPr>
        <w:t>Obama</w:t>
      </w:r>
      <w:proofErr w:type="spellEnd"/>
      <w:r w:rsidR="003C7287" w:rsidRPr="007974B6">
        <w:rPr>
          <w:lang w:val="fr-BE"/>
        </w:rPr>
        <w:t xml:space="preserve"> se déplacera à Bruxelles le 26 mars pour le sommet UE-USA.</w:t>
      </w:r>
    </w:p>
    <w:p w:rsidR="003C7287" w:rsidRDefault="003C7287">
      <w:pPr>
        <w:rPr>
          <w:lang w:val="fr-BE"/>
        </w:rPr>
      </w:pPr>
      <w:r w:rsidRPr="005C3EC2">
        <w:rPr>
          <w:lang w:val="fr-BE"/>
        </w:rPr>
        <w:t xml:space="preserve">Après </w:t>
      </w:r>
      <w:r w:rsidR="005C3EC2" w:rsidRPr="005C3EC2">
        <w:rPr>
          <w:lang w:val="fr-BE"/>
        </w:rPr>
        <w:t>plus de 119 entrevues</w:t>
      </w:r>
      <w:r w:rsidR="00BE1591">
        <w:rPr>
          <w:rStyle w:val="FootnoteReference"/>
          <w:lang w:val="fr-BE"/>
        </w:rPr>
        <w:footnoteReference w:id="2"/>
      </w:r>
      <w:r w:rsidR="005C3EC2" w:rsidRPr="005C3EC2">
        <w:rPr>
          <w:lang w:val="fr-BE"/>
        </w:rPr>
        <w:t xml:space="preserve"> avec </w:t>
      </w:r>
      <w:r w:rsidR="005C3EC2">
        <w:rPr>
          <w:lang w:val="fr-BE"/>
        </w:rPr>
        <w:t xml:space="preserve"> la Direction générale du Commerce de la Commis</w:t>
      </w:r>
      <w:r w:rsidR="00BE1591">
        <w:rPr>
          <w:lang w:val="fr-BE"/>
        </w:rPr>
        <w:t>s</w:t>
      </w:r>
      <w:r w:rsidR="005C3EC2">
        <w:rPr>
          <w:lang w:val="fr-BE"/>
        </w:rPr>
        <w:t>ion européenne</w:t>
      </w:r>
      <w:r w:rsidR="00BE1591">
        <w:rPr>
          <w:lang w:val="fr-BE"/>
        </w:rPr>
        <w:t xml:space="preserve"> en 2012-13</w:t>
      </w:r>
      <w:r w:rsidR="005C3EC2">
        <w:rPr>
          <w:lang w:val="fr-BE"/>
        </w:rPr>
        <w:t xml:space="preserve">, </w:t>
      </w:r>
      <w:r w:rsidR="00BE1591">
        <w:rPr>
          <w:lang w:val="fr-BE"/>
        </w:rPr>
        <w:t xml:space="preserve">les grandes firmes regroupées dans le </w:t>
      </w:r>
      <w:r w:rsidR="0086626A">
        <w:rPr>
          <w:lang w:val="fr-BE"/>
        </w:rPr>
        <w:t xml:space="preserve">Conseil Economique </w:t>
      </w:r>
      <w:r w:rsidR="00BE1591">
        <w:rPr>
          <w:lang w:val="fr-BE"/>
        </w:rPr>
        <w:t>Transatlanti</w:t>
      </w:r>
      <w:r w:rsidR="0086626A">
        <w:rPr>
          <w:lang w:val="fr-BE"/>
        </w:rPr>
        <w:t>que</w:t>
      </w:r>
      <w:r w:rsidR="00BE1591">
        <w:rPr>
          <w:lang w:val="fr-BE"/>
        </w:rPr>
        <w:t xml:space="preserve">  sont arrivées à leur fin</w:t>
      </w:r>
      <w:r w:rsidR="006D5BC2">
        <w:rPr>
          <w:lang w:val="fr-BE"/>
        </w:rPr>
        <w:t>: lancer la création d’un</w:t>
      </w:r>
      <w:r w:rsidR="006D5BC2" w:rsidRPr="00EE7ABC">
        <w:rPr>
          <w:i/>
          <w:lang w:val="fr-BE"/>
        </w:rPr>
        <w:t xml:space="preserve"> </w:t>
      </w:r>
      <w:r w:rsidR="00EE7ABC">
        <w:rPr>
          <w:i/>
          <w:lang w:val="fr-BE"/>
        </w:rPr>
        <w:t>« </w:t>
      </w:r>
      <w:r w:rsidR="006D5BC2" w:rsidRPr="00EE7ABC">
        <w:rPr>
          <w:i/>
          <w:lang w:val="fr-BE"/>
        </w:rPr>
        <w:t xml:space="preserve">empire économique </w:t>
      </w:r>
      <w:r w:rsidR="006D5BC2" w:rsidRPr="007974B6">
        <w:rPr>
          <w:i/>
          <w:lang w:val="fr-BE"/>
        </w:rPr>
        <w:t> capable de dicter ses conditions »</w:t>
      </w:r>
      <w:r w:rsidR="006D5BC2">
        <w:rPr>
          <w:rStyle w:val="FootnoteReference"/>
          <w:lang w:val="fr-BE"/>
        </w:rPr>
        <w:footnoteReference w:id="3"/>
      </w:r>
      <w:r w:rsidR="006D5BC2">
        <w:rPr>
          <w:lang w:val="fr-BE"/>
        </w:rPr>
        <w:t xml:space="preserve"> et ses normes à t</w:t>
      </w:r>
      <w:r w:rsidR="00307FD4">
        <w:rPr>
          <w:lang w:val="fr-BE"/>
        </w:rPr>
        <w:t>oute la planète.</w:t>
      </w:r>
      <w:r w:rsidR="007974B6">
        <w:rPr>
          <w:lang w:val="fr-BE"/>
        </w:rPr>
        <w:t xml:space="preserve"> </w:t>
      </w:r>
      <w:r w:rsidR="007974B6" w:rsidRPr="00A9338D">
        <w:rPr>
          <w:i/>
          <w:lang w:val="fr-BE"/>
        </w:rPr>
        <w:t>« Tout pays qui chercherait à nouer des relations commerciales avec les USA ou l’UE se verrait contraint d’adopter telles quelles les règles qui prévalent au sein de leur marché commun »</w:t>
      </w:r>
      <w:r w:rsidR="007974B6">
        <w:rPr>
          <w:i/>
          <w:lang w:val="fr-BE"/>
        </w:rPr>
        <w:t xml:space="preserve"> </w:t>
      </w:r>
      <w:r w:rsidR="007974B6" w:rsidRPr="007974B6">
        <w:rPr>
          <w:lang w:val="fr-BE"/>
        </w:rPr>
        <w:t xml:space="preserve">poursuit </w:t>
      </w:r>
      <w:proofErr w:type="spellStart"/>
      <w:r w:rsidR="007974B6" w:rsidRPr="007974B6">
        <w:rPr>
          <w:lang w:val="fr-BE"/>
        </w:rPr>
        <w:t>Lorri</w:t>
      </w:r>
      <w:proofErr w:type="spellEnd"/>
      <w:r w:rsidR="007974B6" w:rsidRPr="007974B6">
        <w:rPr>
          <w:lang w:val="fr-BE"/>
        </w:rPr>
        <w:t xml:space="preserve"> Wallach</w:t>
      </w:r>
      <w:r w:rsidR="007974B6">
        <w:rPr>
          <w:lang w:val="fr-BE"/>
        </w:rPr>
        <w:t>, de Public Citizen.</w:t>
      </w:r>
    </w:p>
    <w:p w:rsidR="003C7287" w:rsidRDefault="00307FD4">
      <w:pPr>
        <w:rPr>
          <w:i/>
          <w:lang w:val="fr-BE"/>
        </w:rPr>
      </w:pPr>
      <w:r>
        <w:rPr>
          <w:lang w:val="fr-BE"/>
        </w:rPr>
        <w:t>Un député malaisien, de passage à Bruxelles en décembre</w:t>
      </w:r>
      <w:r w:rsidR="007974B6">
        <w:rPr>
          <w:lang w:val="fr-BE"/>
        </w:rPr>
        <w:t>, le confirmait : « </w:t>
      </w:r>
      <w:r w:rsidR="003C7287" w:rsidRPr="00A9338D">
        <w:rPr>
          <w:i/>
          <w:lang w:val="fr-BE"/>
        </w:rPr>
        <w:t>Le gouvernement malaisien lutte contre la signature du TPP. Dans tout le texte de l’accord, il n’y a qu’un seul chapitre sur le commerce et 24 chapitres qui ne portent pas sur le commerce : ce n’est pas un accord commercial, mais un accord pour contrôler le commerce, dans l’intérêt des grandes compagnies. C’est comme une nouvelle constitution dont nous, parlementaires, nous  n’avons pas le contrôle. Même le Parlement des USA, avec la procédure du « </w:t>
      </w:r>
      <w:proofErr w:type="spellStart"/>
      <w:r w:rsidR="003C7287" w:rsidRPr="00A9338D">
        <w:rPr>
          <w:i/>
          <w:lang w:val="fr-BE"/>
        </w:rPr>
        <w:t>fast</w:t>
      </w:r>
      <w:proofErr w:type="spellEnd"/>
      <w:r w:rsidR="003C7287" w:rsidRPr="00A9338D">
        <w:rPr>
          <w:i/>
          <w:lang w:val="fr-BE"/>
        </w:rPr>
        <w:t xml:space="preserve"> </w:t>
      </w:r>
      <w:proofErr w:type="spellStart"/>
      <w:r w:rsidR="003C7287" w:rsidRPr="00A9338D">
        <w:rPr>
          <w:i/>
          <w:lang w:val="fr-BE"/>
        </w:rPr>
        <w:t>track</w:t>
      </w:r>
      <w:proofErr w:type="spellEnd"/>
      <w:r w:rsidR="003C7287" w:rsidRPr="00A9338D">
        <w:rPr>
          <w:i/>
          <w:lang w:val="fr-BE"/>
        </w:rPr>
        <w:t> », n’en a pas le contrôle. L’objectif des accords de libre échange est avant tout la convergence des normes et des règles, bien avant la baisse des droits de douane.</w:t>
      </w:r>
      <w:r w:rsidR="007974B6" w:rsidRPr="007974B6">
        <w:rPr>
          <w:i/>
          <w:lang w:val="fr-BE"/>
        </w:rPr>
        <w:t xml:space="preserve"> </w:t>
      </w:r>
      <w:r w:rsidR="007974B6" w:rsidRPr="00A9338D">
        <w:rPr>
          <w:i/>
          <w:lang w:val="fr-BE"/>
        </w:rPr>
        <w:t>Où est notre souveraineté, où est notre espace politique ?  Le b</w:t>
      </w:r>
      <w:r w:rsidR="007974B6">
        <w:rPr>
          <w:i/>
          <w:lang w:val="fr-BE"/>
        </w:rPr>
        <w:t>usiness régule le gouvernement….</w:t>
      </w:r>
      <w:r w:rsidR="007974B6" w:rsidRPr="00A9338D">
        <w:rPr>
          <w:i/>
          <w:lang w:val="fr-BE"/>
        </w:rPr>
        <w:t>»</w:t>
      </w:r>
      <w:r w:rsidR="007974B6">
        <w:rPr>
          <w:i/>
          <w:lang w:val="fr-BE"/>
        </w:rPr>
        <w:t>.</w:t>
      </w:r>
    </w:p>
    <w:p w:rsidR="005560E5" w:rsidRPr="003E5194" w:rsidRDefault="005560E5" w:rsidP="005560E5">
      <w:r w:rsidRPr="0086626A">
        <w:rPr>
          <w:bCs/>
        </w:rPr>
        <w:t xml:space="preserve">Art. 7 </w:t>
      </w:r>
      <w:r>
        <w:rPr>
          <w:bCs/>
        </w:rPr>
        <w:t>du projet  du GMT</w:t>
      </w:r>
      <w:r w:rsidRPr="0086626A">
        <w:rPr>
          <w:bCs/>
        </w:rPr>
        <w:t xml:space="preserve">: </w:t>
      </w:r>
      <w:r w:rsidRPr="003E5194">
        <w:rPr>
          <w:bCs/>
        </w:rPr>
        <w:t>« </w:t>
      </w:r>
      <w:r w:rsidRPr="003E5194">
        <w:rPr>
          <w:bCs/>
          <w:iCs/>
        </w:rPr>
        <w:t>L’objectif de l’Accord est d’accroître le commerce et l’investissement entre l’UE et les USA</w:t>
      </w:r>
      <w:r w:rsidRPr="003E5194">
        <w:rPr>
          <w:iCs/>
        </w:rPr>
        <w:t xml:space="preserve"> </w:t>
      </w:r>
      <w:r w:rsidRPr="003E5194">
        <w:rPr>
          <w:bCs/>
        </w:rPr>
        <w:t>en réalisant le potentiel inexploité d’un véritable marché transatlantique, générant de nouvelles opportunités économiques pour la création d’emplois et la croissance grâce à un accès accru aux marchés, une plus grande compatibilité de la réglementation</w:t>
      </w:r>
      <w:r w:rsidRPr="003E5194">
        <w:rPr>
          <w:bCs/>
          <w:u w:val="single"/>
        </w:rPr>
        <w:t xml:space="preserve"> </w:t>
      </w:r>
      <w:r w:rsidRPr="003E5194">
        <w:rPr>
          <w:bCs/>
        </w:rPr>
        <w:t xml:space="preserve">et </w:t>
      </w:r>
      <w:r w:rsidRPr="003E5194">
        <w:rPr>
          <w:bCs/>
          <w:u w:val="single"/>
        </w:rPr>
        <w:t>la définition de normes mondiales</w:t>
      </w:r>
      <w:r w:rsidRPr="003E5194">
        <w:rPr>
          <w:bCs/>
        </w:rPr>
        <w:t>. »</w:t>
      </w:r>
      <w:r w:rsidR="00937E8E" w:rsidRPr="003E5194">
        <w:rPr>
          <w:rStyle w:val="FootnoteReference"/>
          <w:bCs/>
        </w:rPr>
        <w:footnoteReference w:id="4"/>
      </w:r>
    </w:p>
    <w:p w:rsidR="007404E6" w:rsidRDefault="007404E6" w:rsidP="007404E6">
      <w:pPr>
        <w:rPr>
          <w:lang w:val="fr-BE"/>
        </w:rPr>
      </w:pPr>
      <w:r w:rsidRPr="00A9338D">
        <w:rPr>
          <w:lang w:val="fr-BE"/>
        </w:rPr>
        <w:t xml:space="preserve">Ces </w:t>
      </w:r>
      <w:r w:rsidR="00FB45AE">
        <w:rPr>
          <w:lang w:val="fr-BE"/>
        </w:rPr>
        <w:t>accords pacifiques et atlantiques</w:t>
      </w:r>
      <w:r w:rsidRPr="00A9338D">
        <w:rPr>
          <w:lang w:val="fr-BE"/>
        </w:rPr>
        <w:t xml:space="preserve"> </w:t>
      </w:r>
      <w:r w:rsidR="00CC2366">
        <w:rPr>
          <w:lang w:val="fr-BE"/>
        </w:rPr>
        <w:t xml:space="preserve">pourraient </w:t>
      </w:r>
      <w:r w:rsidRPr="00A9338D">
        <w:rPr>
          <w:lang w:val="fr-BE"/>
        </w:rPr>
        <w:t>permettr</w:t>
      </w:r>
      <w:r w:rsidR="00CC2366">
        <w:rPr>
          <w:lang w:val="fr-BE"/>
        </w:rPr>
        <w:t>e</w:t>
      </w:r>
      <w:r w:rsidRPr="00A9338D">
        <w:rPr>
          <w:lang w:val="fr-BE"/>
        </w:rPr>
        <w:t xml:space="preserve"> </w:t>
      </w:r>
      <w:r w:rsidRPr="00A9338D">
        <w:rPr>
          <w:i/>
          <w:lang w:val="fr-BE"/>
        </w:rPr>
        <w:t xml:space="preserve">« aux multinationales de poursuivre </w:t>
      </w:r>
      <w:r w:rsidR="005560E5" w:rsidRPr="00A9338D">
        <w:rPr>
          <w:i/>
          <w:lang w:val="fr-BE"/>
        </w:rPr>
        <w:t>en leur propre nom</w:t>
      </w:r>
      <w:r w:rsidR="005560E5" w:rsidRPr="007B62B7">
        <w:rPr>
          <w:lang w:val="fr-BE"/>
        </w:rPr>
        <w:t xml:space="preserve"> </w:t>
      </w:r>
      <w:r w:rsidR="007B62B7" w:rsidRPr="007B62B7">
        <w:rPr>
          <w:lang w:val="fr-BE"/>
        </w:rPr>
        <w:t>– auprès d’un tribunal arbitral privé</w:t>
      </w:r>
      <w:r w:rsidR="007B62B7">
        <w:rPr>
          <w:i/>
          <w:lang w:val="fr-BE"/>
        </w:rPr>
        <w:t xml:space="preserve">- </w:t>
      </w:r>
      <w:r w:rsidRPr="00A9338D">
        <w:rPr>
          <w:i/>
          <w:lang w:val="fr-BE"/>
        </w:rPr>
        <w:t>un pays signataire dont la politique aurait un effet restrictif »</w:t>
      </w:r>
      <w:r>
        <w:rPr>
          <w:rStyle w:val="FootnoteReference"/>
          <w:i/>
          <w:lang w:val="fr-BE"/>
        </w:rPr>
        <w:footnoteReference w:id="5"/>
      </w:r>
      <w:r w:rsidRPr="00A9338D">
        <w:rPr>
          <w:lang w:val="fr-BE"/>
        </w:rPr>
        <w:t xml:space="preserve"> sur leur </w:t>
      </w:r>
      <w:r w:rsidRPr="00A9338D">
        <w:rPr>
          <w:lang w:val="fr-BE"/>
        </w:rPr>
        <w:lastRenderedPageBreak/>
        <w:t xml:space="preserve">intérêt commercial. </w:t>
      </w:r>
      <w:r w:rsidR="00CC2366">
        <w:rPr>
          <w:lang w:val="fr-BE"/>
        </w:rPr>
        <w:t>Si tel était le cas, ce</w:t>
      </w:r>
      <w:r w:rsidRPr="00A9338D">
        <w:rPr>
          <w:lang w:val="fr-BE"/>
        </w:rPr>
        <w:t xml:space="preserve"> serait la </w:t>
      </w:r>
      <w:r w:rsidR="003A5C7B">
        <w:rPr>
          <w:lang w:val="fr-BE"/>
        </w:rPr>
        <w:t xml:space="preserve">privatisation ultime, celle de la politique, ruinant le peu qui reste </w:t>
      </w:r>
      <w:r w:rsidRPr="00A9338D">
        <w:rPr>
          <w:lang w:val="fr-BE"/>
        </w:rPr>
        <w:t>de pouvoir aux Etats.</w:t>
      </w:r>
    </w:p>
    <w:p w:rsidR="00FB45AE" w:rsidRDefault="00FB45AE" w:rsidP="007404E6">
      <w:pPr>
        <w:rPr>
          <w:lang w:val="fr-BE"/>
        </w:rPr>
      </w:pPr>
      <w:r w:rsidRPr="00FB45AE">
        <w:rPr>
          <w:lang w:val="fr-BE"/>
        </w:rPr>
        <w:t>Nous nous intéresserons ici seulement à la partie agricole</w:t>
      </w:r>
      <w:r>
        <w:rPr>
          <w:lang w:val="fr-BE"/>
        </w:rPr>
        <w:t xml:space="preserve">, mais les parties services, </w:t>
      </w:r>
      <w:r w:rsidR="00B15204">
        <w:rPr>
          <w:lang w:val="fr-BE"/>
        </w:rPr>
        <w:t>investissement,</w:t>
      </w:r>
      <w:r>
        <w:rPr>
          <w:lang w:val="fr-BE"/>
        </w:rPr>
        <w:t xml:space="preserve"> propriété intellectuelle, énergie, </w:t>
      </w:r>
      <w:r w:rsidR="00EE7ABC">
        <w:rPr>
          <w:lang w:val="fr-BE"/>
        </w:rPr>
        <w:t xml:space="preserve">…. </w:t>
      </w:r>
      <w:proofErr w:type="gramStart"/>
      <w:r w:rsidR="003E5194">
        <w:rPr>
          <w:lang w:val="fr-BE"/>
        </w:rPr>
        <w:t>s</w:t>
      </w:r>
      <w:r>
        <w:rPr>
          <w:lang w:val="fr-BE"/>
        </w:rPr>
        <w:t>ont</w:t>
      </w:r>
      <w:proofErr w:type="gramEnd"/>
      <w:r w:rsidR="003E5194">
        <w:rPr>
          <w:lang w:val="fr-BE"/>
        </w:rPr>
        <w:t xml:space="preserve"> </w:t>
      </w:r>
      <w:r w:rsidR="00D15A24">
        <w:rPr>
          <w:lang w:val="fr-BE"/>
        </w:rPr>
        <w:t xml:space="preserve">aussi </w:t>
      </w:r>
      <w:r w:rsidR="00EE7ABC">
        <w:rPr>
          <w:lang w:val="fr-BE"/>
        </w:rPr>
        <w:t xml:space="preserve"> significatives </w:t>
      </w:r>
      <w:r w:rsidR="005560E5">
        <w:rPr>
          <w:lang w:val="fr-BE"/>
        </w:rPr>
        <w:t xml:space="preserve"> </w:t>
      </w:r>
      <w:r w:rsidR="00DE47E5">
        <w:rPr>
          <w:lang w:val="fr-BE"/>
        </w:rPr>
        <w:t xml:space="preserve">de la domination croissante </w:t>
      </w:r>
      <w:r w:rsidR="004073F0">
        <w:rPr>
          <w:lang w:val="fr-BE"/>
        </w:rPr>
        <w:t>des Etats par l</w:t>
      </w:r>
      <w:r w:rsidR="00DE47E5">
        <w:rPr>
          <w:lang w:val="fr-BE"/>
        </w:rPr>
        <w:t>es grandes firmes</w:t>
      </w:r>
      <w:r w:rsidR="004073F0">
        <w:rPr>
          <w:lang w:val="fr-BE"/>
        </w:rPr>
        <w:t>.</w:t>
      </w:r>
    </w:p>
    <w:p w:rsidR="0043321B" w:rsidRDefault="0043321B" w:rsidP="004073F0">
      <w:pPr>
        <w:spacing w:after="0"/>
        <w:rPr>
          <w:lang w:val="fr-BE"/>
        </w:rPr>
      </w:pPr>
      <w:r>
        <w:rPr>
          <w:noProof/>
          <w:lang w:eastAsia="fr-FR"/>
        </w:rPr>
        <w:drawing>
          <wp:inline distT="0" distB="0" distL="0" distR="0">
            <wp:extent cx="6336030" cy="1614722"/>
            <wp:effectExtent l="19050" t="0" r="7620" b="0"/>
            <wp:docPr id="2" name="Picture 1" descr="C:\Users\Gérard\Pictures\MP Navigator EX\2014_02_05\US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érard\Pictures\MP Navigator EX\2014_02_05\USUE.jpg"/>
                    <pic:cNvPicPr>
                      <a:picLocks noChangeAspect="1" noChangeArrowheads="1"/>
                    </pic:cNvPicPr>
                  </pic:nvPicPr>
                  <pic:blipFill>
                    <a:blip r:embed="rId9" cstate="print"/>
                    <a:srcRect/>
                    <a:stretch>
                      <a:fillRect/>
                    </a:stretch>
                  </pic:blipFill>
                  <pic:spPr bwMode="auto">
                    <a:xfrm>
                      <a:off x="0" y="0"/>
                      <a:ext cx="6336030" cy="1614722"/>
                    </a:xfrm>
                    <a:prstGeom prst="rect">
                      <a:avLst/>
                    </a:prstGeom>
                    <a:noFill/>
                    <a:ln w="9525">
                      <a:noFill/>
                      <a:miter lim="800000"/>
                      <a:headEnd/>
                      <a:tailEnd/>
                    </a:ln>
                  </pic:spPr>
                </pic:pic>
              </a:graphicData>
            </a:graphic>
          </wp:inline>
        </w:drawing>
      </w:r>
    </w:p>
    <w:p w:rsidR="004073F0" w:rsidRDefault="004073F0" w:rsidP="004073F0">
      <w:pPr>
        <w:spacing w:after="0"/>
        <w:rPr>
          <w:color w:val="000000"/>
          <w:lang w:val="fr-BE"/>
        </w:rPr>
      </w:pPr>
      <w:r>
        <w:rPr>
          <w:lang w:val="fr-BE"/>
        </w:rPr>
        <w:t>Rappelons que les agricultures US et UE sont bien différentes</w:t>
      </w:r>
      <w:r>
        <w:rPr>
          <w:rStyle w:val="FootnoteReference"/>
          <w:color w:val="000000"/>
        </w:rPr>
        <w:footnoteReference w:id="6"/>
      </w:r>
      <w:r w:rsidRPr="005560E5">
        <w:rPr>
          <w:rStyle w:val="FootnoteReference"/>
          <w:color w:val="000000"/>
        </w:rPr>
        <w:t xml:space="preserve"> </w:t>
      </w:r>
      <w:r>
        <w:rPr>
          <w:color w:val="000000"/>
          <w:lang w:val="fr-BE"/>
        </w:rPr>
        <w:t>en termes de modes de production, de structures d’exploitation, de normes.</w:t>
      </w:r>
    </w:p>
    <w:p w:rsidR="004073F0" w:rsidRDefault="004073F0" w:rsidP="004073F0">
      <w:pPr>
        <w:spacing w:after="0"/>
        <w:rPr>
          <w:color w:val="000000"/>
          <w:lang w:val="fr-BE"/>
        </w:rPr>
      </w:pPr>
    </w:p>
    <w:tbl>
      <w:tblPr>
        <w:tblStyle w:val="TableGrid"/>
        <w:tblW w:w="2990" w:type="pct"/>
        <w:tblInd w:w="1526" w:type="dxa"/>
        <w:tblLayout w:type="fixed"/>
        <w:tblLook w:val="04A0"/>
      </w:tblPr>
      <w:tblGrid>
        <w:gridCol w:w="4112"/>
        <w:gridCol w:w="1134"/>
        <w:gridCol w:w="850"/>
      </w:tblGrid>
      <w:tr w:rsidR="00DE47E5" w:rsidTr="003E5194">
        <w:tc>
          <w:tcPr>
            <w:tcW w:w="3372" w:type="pct"/>
          </w:tcPr>
          <w:p w:rsidR="008C593A" w:rsidRPr="00801BA5" w:rsidRDefault="008C593A" w:rsidP="00DE47E5">
            <w:pPr>
              <w:textAlignment w:val="baseline"/>
              <w:rPr>
                <w:color w:val="000000"/>
                <w:spacing w:val="-1"/>
                <w:sz w:val="20"/>
                <w:szCs w:val="20"/>
              </w:rPr>
            </w:pPr>
          </w:p>
        </w:tc>
        <w:tc>
          <w:tcPr>
            <w:tcW w:w="930" w:type="pct"/>
          </w:tcPr>
          <w:p w:rsidR="008C593A" w:rsidRPr="00801BA5" w:rsidRDefault="008C593A" w:rsidP="004073F0">
            <w:pPr>
              <w:jc w:val="center"/>
              <w:textAlignment w:val="baseline"/>
              <w:rPr>
                <w:color w:val="000000"/>
                <w:spacing w:val="-1"/>
                <w:sz w:val="20"/>
                <w:szCs w:val="20"/>
              </w:rPr>
            </w:pPr>
            <w:r w:rsidRPr="00801BA5">
              <w:rPr>
                <w:color w:val="000000"/>
                <w:spacing w:val="-1"/>
                <w:sz w:val="20"/>
                <w:szCs w:val="20"/>
              </w:rPr>
              <w:t>UE</w:t>
            </w:r>
            <w:r w:rsidR="00DE47E5">
              <w:rPr>
                <w:color w:val="000000"/>
                <w:spacing w:val="-1"/>
                <w:sz w:val="20"/>
                <w:szCs w:val="20"/>
              </w:rPr>
              <w:t xml:space="preserve"> </w:t>
            </w:r>
            <w:r w:rsidRPr="00801BA5">
              <w:rPr>
                <w:color w:val="000000"/>
                <w:spacing w:val="-1"/>
                <w:sz w:val="20"/>
                <w:szCs w:val="20"/>
              </w:rPr>
              <w:t>27</w:t>
            </w:r>
          </w:p>
        </w:tc>
        <w:tc>
          <w:tcPr>
            <w:tcW w:w="697" w:type="pct"/>
          </w:tcPr>
          <w:p w:rsidR="008C593A" w:rsidRPr="00801BA5" w:rsidRDefault="008C593A" w:rsidP="00DE47E5">
            <w:pPr>
              <w:textAlignment w:val="baseline"/>
              <w:rPr>
                <w:color w:val="000000"/>
                <w:spacing w:val="-1"/>
                <w:sz w:val="20"/>
                <w:szCs w:val="20"/>
              </w:rPr>
            </w:pPr>
            <w:r w:rsidRPr="00801BA5">
              <w:rPr>
                <w:color w:val="000000"/>
                <w:spacing w:val="-1"/>
                <w:sz w:val="20"/>
                <w:szCs w:val="20"/>
              </w:rPr>
              <w:t>USA</w:t>
            </w:r>
          </w:p>
        </w:tc>
      </w:tr>
      <w:tr w:rsidR="00DE47E5" w:rsidTr="003E5194">
        <w:tc>
          <w:tcPr>
            <w:tcW w:w="3372" w:type="pct"/>
            <w:vAlign w:val="center"/>
          </w:tcPr>
          <w:p w:rsidR="008C593A" w:rsidRPr="00801BA5" w:rsidRDefault="00DE47E5" w:rsidP="00DE47E5">
            <w:pPr>
              <w:spacing w:line="229" w:lineRule="exact"/>
              <w:textAlignment w:val="baseline"/>
              <w:rPr>
                <w:color w:val="000000"/>
                <w:sz w:val="20"/>
                <w:szCs w:val="20"/>
              </w:rPr>
            </w:pPr>
            <w:r>
              <w:rPr>
                <w:color w:val="000000"/>
                <w:sz w:val="20"/>
                <w:szCs w:val="20"/>
              </w:rPr>
              <w:t>Population totale en 2010</w:t>
            </w:r>
            <w:r w:rsidR="008C593A" w:rsidRPr="00801BA5">
              <w:rPr>
                <w:color w:val="000000"/>
                <w:sz w:val="20"/>
                <w:szCs w:val="20"/>
              </w:rPr>
              <w:t xml:space="preserve"> en millions </w:t>
            </w:r>
          </w:p>
        </w:tc>
        <w:tc>
          <w:tcPr>
            <w:tcW w:w="930" w:type="pct"/>
            <w:vAlign w:val="center"/>
          </w:tcPr>
          <w:p w:rsidR="008C593A" w:rsidRDefault="008C593A" w:rsidP="00DE47E5">
            <w:pPr>
              <w:spacing w:line="229" w:lineRule="exact"/>
              <w:jc w:val="center"/>
              <w:textAlignment w:val="baseline"/>
              <w:rPr>
                <w:color w:val="000000"/>
                <w:sz w:val="20"/>
              </w:rPr>
            </w:pPr>
            <w:r>
              <w:rPr>
                <w:color w:val="000000"/>
                <w:sz w:val="20"/>
              </w:rPr>
              <w:t>500</w:t>
            </w:r>
          </w:p>
        </w:tc>
        <w:tc>
          <w:tcPr>
            <w:tcW w:w="697" w:type="pct"/>
          </w:tcPr>
          <w:p w:rsidR="008C593A" w:rsidRPr="00801BA5" w:rsidRDefault="008C593A" w:rsidP="00DE47E5">
            <w:pPr>
              <w:textAlignment w:val="baseline"/>
              <w:rPr>
                <w:color w:val="000000"/>
                <w:spacing w:val="-1"/>
                <w:sz w:val="20"/>
                <w:szCs w:val="20"/>
              </w:rPr>
            </w:pPr>
            <w:r>
              <w:rPr>
                <w:color w:val="000000"/>
                <w:spacing w:val="-1"/>
                <w:sz w:val="20"/>
                <w:szCs w:val="20"/>
              </w:rPr>
              <w:t>310</w:t>
            </w:r>
          </w:p>
        </w:tc>
      </w:tr>
      <w:tr w:rsidR="00DE47E5" w:rsidTr="003E5194">
        <w:tc>
          <w:tcPr>
            <w:tcW w:w="3372" w:type="pct"/>
            <w:vAlign w:val="center"/>
          </w:tcPr>
          <w:p w:rsidR="008C593A" w:rsidRPr="00801BA5" w:rsidRDefault="008C593A" w:rsidP="00DE47E5">
            <w:pPr>
              <w:tabs>
                <w:tab w:val="left" w:pos="1800"/>
                <w:tab w:val="left" w:pos="2664"/>
              </w:tabs>
              <w:spacing w:after="6" w:line="233" w:lineRule="exact"/>
              <w:textAlignment w:val="baseline"/>
              <w:rPr>
                <w:color w:val="000000"/>
                <w:sz w:val="20"/>
                <w:szCs w:val="20"/>
              </w:rPr>
            </w:pPr>
            <w:r w:rsidRPr="00801BA5">
              <w:rPr>
                <w:color w:val="000000"/>
                <w:sz w:val="20"/>
                <w:szCs w:val="20"/>
              </w:rPr>
              <w:t>Population agricole</w:t>
            </w:r>
            <w:r w:rsidRPr="00801BA5">
              <w:rPr>
                <w:color w:val="000000"/>
                <w:sz w:val="20"/>
                <w:szCs w:val="20"/>
              </w:rPr>
              <w:tab/>
              <w:t>"</w:t>
            </w:r>
            <w:r w:rsidRPr="00801BA5">
              <w:rPr>
                <w:color w:val="000000"/>
                <w:sz w:val="20"/>
                <w:szCs w:val="20"/>
              </w:rPr>
              <w:tab/>
              <w:t>"</w:t>
            </w:r>
          </w:p>
        </w:tc>
        <w:tc>
          <w:tcPr>
            <w:tcW w:w="930" w:type="pct"/>
            <w:vAlign w:val="center"/>
          </w:tcPr>
          <w:p w:rsidR="008C593A" w:rsidRDefault="008C593A" w:rsidP="00DE47E5">
            <w:pPr>
              <w:spacing w:after="1" w:line="233" w:lineRule="exact"/>
              <w:jc w:val="center"/>
              <w:textAlignment w:val="baseline"/>
              <w:rPr>
                <w:color w:val="000000"/>
                <w:sz w:val="20"/>
              </w:rPr>
            </w:pPr>
            <w:r>
              <w:rPr>
                <w:color w:val="000000"/>
                <w:sz w:val="20"/>
              </w:rPr>
              <w:t>21,745</w:t>
            </w:r>
          </w:p>
        </w:tc>
        <w:tc>
          <w:tcPr>
            <w:tcW w:w="697" w:type="pct"/>
          </w:tcPr>
          <w:p w:rsidR="008C593A" w:rsidRPr="00801BA5" w:rsidRDefault="008C593A" w:rsidP="00DE47E5">
            <w:pPr>
              <w:textAlignment w:val="baseline"/>
              <w:rPr>
                <w:color w:val="000000"/>
                <w:spacing w:val="-1"/>
                <w:sz w:val="20"/>
                <w:szCs w:val="20"/>
              </w:rPr>
            </w:pPr>
            <w:r>
              <w:rPr>
                <w:color w:val="000000"/>
                <w:spacing w:val="-1"/>
                <w:sz w:val="20"/>
                <w:szCs w:val="20"/>
              </w:rPr>
              <w:t>5,148</w:t>
            </w:r>
          </w:p>
        </w:tc>
      </w:tr>
      <w:tr w:rsidR="00DE47E5" w:rsidTr="003E5194">
        <w:tc>
          <w:tcPr>
            <w:tcW w:w="3372" w:type="pct"/>
            <w:vAlign w:val="center"/>
          </w:tcPr>
          <w:p w:rsidR="008C593A" w:rsidRPr="00801BA5" w:rsidRDefault="00DE47E5" w:rsidP="00DE47E5">
            <w:pPr>
              <w:tabs>
                <w:tab w:val="left" w:pos="1872"/>
              </w:tabs>
              <w:spacing w:line="229" w:lineRule="exact"/>
              <w:textAlignment w:val="baseline"/>
              <w:rPr>
                <w:color w:val="000000"/>
                <w:sz w:val="20"/>
                <w:szCs w:val="20"/>
              </w:rPr>
            </w:pPr>
            <w:r>
              <w:rPr>
                <w:color w:val="000000"/>
                <w:sz w:val="20"/>
                <w:szCs w:val="20"/>
              </w:rPr>
              <w:t xml:space="preserve">Actifs agricoles  en 2010 </w:t>
            </w:r>
            <w:r w:rsidR="008C593A" w:rsidRPr="00801BA5">
              <w:rPr>
                <w:color w:val="000000"/>
                <w:sz w:val="20"/>
                <w:szCs w:val="20"/>
              </w:rPr>
              <w:t xml:space="preserve"> en </w:t>
            </w:r>
            <w:r>
              <w:rPr>
                <w:color w:val="000000"/>
                <w:sz w:val="20"/>
                <w:szCs w:val="20"/>
              </w:rPr>
              <w:t>millions</w:t>
            </w:r>
            <w:r w:rsidR="008C593A" w:rsidRPr="00801BA5">
              <w:rPr>
                <w:color w:val="000000"/>
                <w:sz w:val="20"/>
                <w:szCs w:val="20"/>
              </w:rPr>
              <w:t xml:space="preserve"> d'UTA*</w:t>
            </w:r>
          </w:p>
        </w:tc>
        <w:tc>
          <w:tcPr>
            <w:tcW w:w="930" w:type="pct"/>
            <w:vAlign w:val="center"/>
          </w:tcPr>
          <w:p w:rsidR="008C593A" w:rsidRDefault="008C593A" w:rsidP="00DE47E5">
            <w:pPr>
              <w:spacing w:after="1" w:line="233" w:lineRule="exact"/>
              <w:jc w:val="center"/>
              <w:textAlignment w:val="baseline"/>
              <w:rPr>
                <w:color w:val="000000"/>
                <w:sz w:val="20"/>
              </w:rPr>
            </w:pPr>
            <w:r>
              <w:rPr>
                <w:color w:val="000000"/>
                <w:sz w:val="20"/>
              </w:rPr>
              <w:t>10,714</w:t>
            </w:r>
          </w:p>
        </w:tc>
        <w:tc>
          <w:tcPr>
            <w:tcW w:w="697" w:type="pct"/>
          </w:tcPr>
          <w:p w:rsidR="008C593A" w:rsidRPr="00801BA5" w:rsidRDefault="008C593A" w:rsidP="00DE47E5">
            <w:pPr>
              <w:textAlignment w:val="baseline"/>
              <w:rPr>
                <w:color w:val="000000"/>
                <w:spacing w:val="-1"/>
                <w:sz w:val="20"/>
                <w:szCs w:val="20"/>
              </w:rPr>
            </w:pPr>
            <w:r>
              <w:rPr>
                <w:color w:val="000000"/>
                <w:spacing w:val="-1"/>
                <w:sz w:val="20"/>
                <w:szCs w:val="20"/>
              </w:rPr>
              <w:t>2,509</w:t>
            </w:r>
          </w:p>
        </w:tc>
      </w:tr>
      <w:tr w:rsidR="00DE47E5" w:rsidTr="003E5194">
        <w:tc>
          <w:tcPr>
            <w:tcW w:w="3372" w:type="pct"/>
            <w:vAlign w:val="center"/>
          </w:tcPr>
          <w:p w:rsidR="008C593A" w:rsidRPr="00801BA5" w:rsidRDefault="00DE47E5" w:rsidP="00DE47E5">
            <w:pPr>
              <w:spacing w:after="1" w:line="233" w:lineRule="exact"/>
              <w:textAlignment w:val="baseline"/>
              <w:rPr>
                <w:color w:val="000000"/>
                <w:sz w:val="20"/>
                <w:szCs w:val="20"/>
              </w:rPr>
            </w:pPr>
            <w:r>
              <w:rPr>
                <w:color w:val="000000"/>
                <w:sz w:val="20"/>
                <w:szCs w:val="20"/>
              </w:rPr>
              <w:t>SAU (surface agricole utilisée)</w:t>
            </w:r>
            <w:r w:rsidR="008C593A" w:rsidRPr="00801BA5">
              <w:rPr>
                <w:color w:val="000000"/>
                <w:sz w:val="20"/>
                <w:szCs w:val="20"/>
              </w:rPr>
              <w:t xml:space="preserve"> en </w:t>
            </w:r>
            <w:r>
              <w:rPr>
                <w:color w:val="000000"/>
                <w:sz w:val="20"/>
                <w:szCs w:val="20"/>
              </w:rPr>
              <w:t>millions d’</w:t>
            </w:r>
            <w:r w:rsidR="008C593A" w:rsidRPr="00801BA5">
              <w:rPr>
                <w:color w:val="000000"/>
                <w:sz w:val="20"/>
                <w:szCs w:val="20"/>
              </w:rPr>
              <w:t>ha</w:t>
            </w:r>
          </w:p>
        </w:tc>
        <w:tc>
          <w:tcPr>
            <w:tcW w:w="930" w:type="pct"/>
            <w:vAlign w:val="center"/>
          </w:tcPr>
          <w:p w:rsidR="008C593A" w:rsidRDefault="008C593A" w:rsidP="00DE47E5">
            <w:pPr>
              <w:spacing w:after="1" w:line="233" w:lineRule="exact"/>
              <w:jc w:val="center"/>
              <w:textAlignment w:val="baseline"/>
              <w:rPr>
                <w:color w:val="000000"/>
                <w:sz w:val="20"/>
              </w:rPr>
            </w:pPr>
            <w:r>
              <w:rPr>
                <w:color w:val="000000"/>
                <w:sz w:val="20"/>
              </w:rPr>
              <w:t>187</w:t>
            </w:r>
          </w:p>
        </w:tc>
        <w:tc>
          <w:tcPr>
            <w:tcW w:w="697" w:type="pct"/>
          </w:tcPr>
          <w:p w:rsidR="008C593A" w:rsidRPr="00801BA5" w:rsidRDefault="008C593A" w:rsidP="00DE47E5">
            <w:pPr>
              <w:textAlignment w:val="baseline"/>
              <w:rPr>
                <w:color w:val="000000"/>
                <w:spacing w:val="-1"/>
                <w:sz w:val="20"/>
                <w:szCs w:val="20"/>
              </w:rPr>
            </w:pPr>
            <w:r>
              <w:rPr>
                <w:color w:val="000000"/>
                <w:spacing w:val="-1"/>
                <w:sz w:val="20"/>
                <w:szCs w:val="20"/>
              </w:rPr>
              <w:t>411</w:t>
            </w:r>
          </w:p>
        </w:tc>
      </w:tr>
      <w:tr w:rsidR="00DE47E5" w:rsidTr="003E5194">
        <w:tc>
          <w:tcPr>
            <w:tcW w:w="3372" w:type="pct"/>
            <w:vAlign w:val="center"/>
          </w:tcPr>
          <w:p w:rsidR="008C593A" w:rsidRPr="00801BA5" w:rsidRDefault="00DE47E5" w:rsidP="00D15A24">
            <w:pPr>
              <w:spacing w:line="229" w:lineRule="exact"/>
              <w:textAlignment w:val="baseline"/>
              <w:rPr>
                <w:color w:val="000000"/>
                <w:sz w:val="20"/>
                <w:szCs w:val="20"/>
              </w:rPr>
            </w:pPr>
            <w:r>
              <w:rPr>
                <w:color w:val="000000"/>
                <w:sz w:val="20"/>
                <w:szCs w:val="20"/>
              </w:rPr>
              <w:t>SAU</w:t>
            </w:r>
            <w:r w:rsidR="008C593A" w:rsidRPr="00801BA5">
              <w:rPr>
                <w:color w:val="000000"/>
                <w:sz w:val="20"/>
                <w:szCs w:val="20"/>
              </w:rPr>
              <w:t xml:space="preserve"> moyenne des exploitations </w:t>
            </w:r>
            <w:r w:rsidRPr="00801BA5">
              <w:rPr>
                <w:color w:val="000000"/>
                <w:sz w:val="20"/>
                <w:szCs w:val="20"/>
              </w:rPr>
              <w:t xml:space="preserve">en ha </w:t>
            </w:r>
            <w:r w:rsidR="00D15A24">
              <w:rPr>
                <w:color w:val="000000"/>
                <w:sz w:val="20"/>
                <w:szCs w:val="20"/>
              </w:rPr>
              <w:t>en</w:t>
            </w:r>
            <w:r w:rsidR="008C593A" w:rsidRPr="00801BA5">
              <w:rPr>
                <w:color w:val="000000"/>
                <w:sz w:val="20"/>
                <w:szCs w:val="20"/>
              </w:rPr>
              <w:t xml:space="preserve">2007 </w:t>
            </w:r>
          </w:p>
        </w:tc>
        <w:tc>
          <w:tcPr>
            <w:tcW w:w="930" w:type="pct"/>
            <w:vAlign w:val="center"/>
          </w:tcPr>
          <w:p w:rsidR="008C593A" w:rsidRDefault="008C593A" w:rsidP="00DE47E5">
            <w:pPr>
              <w:tabs>
                <w:tab w:val="decimal" w:pos="576"/>
              </w:tabs>
              <w:spacing w:line="229" w:lineRule="exact"/>
              <w:jc w:val="center"/>
              <w:textAlignment w:val="baseline"/>
              <w:rPr>
                <w:color w:val="000000"/>
                <w:sz w:val="20"/>
              </w:rPr>
            </w:pPr>
            <w:r>
              <w:rPr>
                <w:color w:val="000000"/>
                <w:sz w:val="20"/>
              </w:rPr>
              <w:t>12,6</w:t>
            </w:r>
          </w:p>
        </w:tc>
        <w:tc>
          <w:tcPr>
            <w:tcW w:w="697" w:type="pct"/>
          </w:tcPr>
          <w:p w:rsidR="008C593A" w:rsidRPr="00801BA5" w:rsidRDefault="008C593A" w:rsidP="00DE47E5">
            <w:pPr>
              <w:textAlignment w:val="baseline"/>
              <w:rPr>
                <w:color w:val="000000"/>
                <w:spacing w:val="-1"/>
                <w:sz w:val="20"/>
                <w:szCs w:val="20"/>
              </w:rPr>
            </w:pPr>
            <w:r>
              <w:rPr>
                <w:color w:val="000000"/>
                <w:spacing w:val="-1"/>
                <w:sz w:val="20"/>
                <w:szCs w:val="20"/>
              </w:rPr>
              <w:t>169</w:t>
            </w:r>
          </w:p>
        </w:tc>
      </w:tr>
      <w:tr w:rsidR="00DE47E5" w:rsidTr="003E5194">
        <w:tc>
          <w:tcPr>
            <w:tcW w:w="3372" w:type="pct"/>
            <w:vAlign w:val="center"/>
          </w:tcPr>
          <w:p w:rsidR="008C593A" w:rsidRPr="00801BA5" w:rsidRDefault="00DE47E5" w:rsidP="00DE47E5">
            <w:pPr>
              <w:spacing w:after="1" w:line="233" w:lineRule="exact"/>
              <w:textAlignment w:val="baseline"/>
              <w:rPr>
                <w:color w:val="000000"/>
                <w:sz w:val="20"/>
                <w:szCs w:val="20"/>
              </w:rPr>
            </w:pPr>
            <w:r>
              <w:rPr>
                <w:color w:val="000000"/>
                <w:sz w:val="20"/>
                <w:szCs w:val="20"/>
              </w:rPr>
              <w:t xml:space="preserve">Nombre d'exploitations </w:t>
            </w:r>
            <w:r w:rsidR="008C593A" w:rsidRPr="00801BA5">
              <w:rPr>
                <w:color w:val="000000"/>
                <w:sz w:val="20"/>
                <w:szCs w:val="20"/>
              </w:rPr>
              <w:t xml:space="preserve">en </w:t>
            </w:r>
            <w:r>
              <w:rPr>
                <w:color w:val="000000"/>
                <w:sz w:val="20"/>
                <w:szCs w:val="20"/>
              </w:rPr>
              <w:t>millions</w:t>
            </w:r>
            <w:r w:rsidR="008C593A" w:rsidRPr="00801BA5">
              <w:rPr>
                <w:color w:val="000000"/>
                <w:sz w:val="20"/>
                <w:szCs w:val="20"/>
              </w:rPr>
              <w:t xml:space="preserve"> en 2007</w:t>
            </w:r>
          </w:p>
        </w:tc>
        <w:tc>
          <w:tcPr>
            <w:tcW w:w="930" w:type="pct"/>
            <w:vAlign w:val="center"/>
          </w:tcPr>
          <w:p w:rsidR="008C593A" w:rsidRDefault="008C593A" w:rsidP="00DE47E5">
            <w:pPr>
              <w:tabs>
                <w:tab w:val="decimal" w:pos="576"/>
              </w:tabs>
              <w:spacing w:after="1" w:line="233" w:lineRule="exact"/>
              <w:jc w:val="center"/>
              <w:textAlignment w:val="baseline"/>
              <w:rPr>
                <w:color w:val="000000"/>
                <w:sz w:val="20"/>
              </w:rPr>
            </w:pPr>
            <w:r>
              <w:rPr>
                <w:color w:val="000000"/>
                <w:sz w:val="20"/>
              </w:rPr>
              <w:t>13,700</w:t>
            </w:r>
          </w:p>
        </w:tc>
        <w:tc>
          <w:tcPr>
            <w:tcW w:w="697" w:type="pct"/>
          </w:tcPr>
          <w:p w:rsidR="008C593A" w:rsidRPr="00801BA5" w:rsidRDefault="008C593A" w:rsidP="00DE47E5">
            <w:pPr>
              <w:textAlignment w:val="baseline"/>
              <w:rPr>
                <w:color w:val="000000"/>
                <w:spacing w:val="-1"/>
                <w:sz w:val="20"/>
                <w:szCs w:val="20"/>
              </w:rPr>
            </w:pPr>
            <w:r>
              <w:rPr>
                <w:color w:val="000000"/>
                <w:spacing w:val="-1"/>
                <w:sz w:val="20"/>
                <w:szCs w:val="20"/>
              </w:rPr>
              <w:t>2,204</w:t>
            </w:r>
          </w:p>
        </w:tc>
      </w:tr>
      <w:tr w:rsidR="00DE47E5" w:rsidTr="003E5194">
        <w:tc>
          <w:tcPr>
            <w:tcW w:w="3372" w:type="pct"/>
            <w:vAlign w:val="center"/>
          </w:tcPr>
          <w:p w:rsidR="008C593A" w:rsidRPr="00801BA5" w:rsidRDefault="008C593A" w:rsidP="00DE47E5">
            <w:pPr>
              <w:spacing w:after="6" w:line="233" w:lineRule="exact"/>
              <w:textAlignment w:val="baseline"/>
              <w:rPr>
                <w:color w:val="000000"/>
                <w:sz w:val="20"/>
                <w:szCs w:val="20"/>
              </w:rPr>
            </w:pPr>
            <w:r w:rsidRPr="00801BA5">
              <w:rPr>
                <w:color w:val="000000"/>
                <w:sz w:val="20"/>
                <w:szCs w:val="20"/>
              </w:rPr>
              <w:t>UTA par exploitation</w:t>
            </w:r>
          </w:p>
        </w:tc>
        <w:tc>
          <w:tcPr>
            <w:tcW w:w="930" w:type="pct"/>
            <w:vAlign w:val="center"/>
          </w:tcPr>
          <w:p w:rsidR="008C593A" w:rsidRDefault="008C593A" w:rsidP="00DE47E5">
            <w:pPr>
              <w:tabs>
                <w:tab w:val="decimal" w:pos="576"/>
              </w:tabs>
              <w:spacing w:after="6" w:line="233" w:lineRule="exact"/>
              <w:jc w:val="center"/>
              <w:textAlignment w:val="baseline"/>
              <w:rPr>
                <w:color w:val="000000"/>
                <w:sz w:val="20"/>
              </w:rPr>
            </w:pPr>
            <w:r>
              <w:rPr>
                <w:color w:val="000000"/>
                <w:sz w:val="20"/>
              </w:rPr>
              <w:t>0,78</w:t>
            </w:r>
          </w:p>
        </w:tc>
        <w:tc>
          <w:tcPr>
            <w:tcW w:w="697" w:type="pct"/>
          </w:tcPr>
          <w:p w:rsidR="008C593A" w:rsidRPr="00801BA5" w:rsidRDefault="008C593A" w:rsidP="00DE47E5">
            <w:pPr>
              <w:textAlignment w:val="baseline"/>
              <w:rPr>
                <w:color w:val="000000"/>
                <w:spacing w:val="-1"/>
                <w:sz w:val="20"/>
                <w:szCs w:val="20"/>
              </w:rPr>
            </w:pPr>
            <w:r>
              <w:rPr>
                <w:color w:val="000000"/>
                <w:spacing w:val="-1"/>
                <w:sz w:val="20"/>
                <w:szCs w:val="20"/>
              </w:rPr>
              <w:t>1,17</w:t>
            </w:r>
          </w:p>
        </w:tc>
      </w:tr>
    </w:tbl>
    <w:p w:rsidR="008C593A" w:rsidRPr="004073F0" w:rsidRDefault="008C593A" w:rsidP="003E5194">
      <w:pPr>
        <w:spacing w:line="215" w:lineRule="exact"/>
        <w:jc w:val="center"/>
        <w:textAlignment w:val="baseline"/>
        <w:rPr>
          <w:color w:val="000000"/>
          <w:sz w:val="16"/>
          <w:szCs w:val="16"/>
        </w:rPr>
      </w:pPr>
      <w:r w:rsidRPr="004073F0">
        <w:rPr>
          <w:color w:val="000000"/>
          <w:sz w:val="16"/>
          <w:szCs w:val="16"/>
        </w:rPr>
        <w:t>Source : FAOSTAT; * UTA : actif agricole en équivalent plein temps</w:t>
      </w:r>
    </w:p>
    <w:p w:rsidR="00CC2366" w:rsidRPr="00CC2366" w:rsidRDefault="00CC2366" w:rsidP="00290B3B">
      <w:pPr>
        <w:spacing w:after="0"/>
        <w:rPr>
          <w:b/>
        </w:rPr>
      </w:pPr>
      <w:r w:rsidRPr="00CC2366">
        <w:rPr>
          <w:b/>
        </w:rPr>
        <w:t>L’abaissement des droits de douane fragilisera plus les agriculteurs européens qu’américains</w:t>
      </w:r>
    </w:p>
    <w:p w:rsidR="008C593A" w:rsidRDefault="008C593A" w:rsidP="00290B3B">
      <w:pPr>
        <w:spacing w:after="0"/>
      </w:pPr>
      <w:r>
        <w:t>Si l’on inclut les boissons, l’UE a été excédentaire en 2007-2012 de 5 milliards d’€ dans son comme</w:t>
      </w:r>
      <w:r w:rsidR="00D15A24">
        <w:t>rce alimentaire avec les USA ;</w:t>
      </w:r>
      <w:r>
        <w:t xml:space="preserve"> mais sans les boissons, elle a été déficitaire  de 0,5 milliards d’€ (les postes d’importation les plus importants étant les fruits, les oléagineux, les céréales, les poissons)</w:t>
      </w:r>
      <w:r w:rsidR="00D15A24">
        <w:t>.</w:t>
      </w:r>
    </w:p>
    <w:p w:rsidR="0086626A" w:rsidRDefault="001D70F8" w:rsidP="00290B3B">
      <w:pPr>
        <w:spacing w:after="0"/>
      </w:pPr>
      <w:r w:rsidRPr="001D70F8">
        <w:t xml:space="preserve">Les </w:t>
      </w:r>
      <w:r>
        <w:t>droits de douane</w:t>
      </w:r>
      <w:r w:rsidRPr="001D70F8">
        <w:t xml:space="preserve"> agricoles</w:t>
      </w:r>
      <w:r>
        <w:t xml:space="preserve"> et alimentaires</w:t>
      </w:r>
      <w:r w:rsidRPr="001D70F8">
        <w:t xml:space="preserve"> étant dans l’UE en moyenne supérieurs à ceux des USA</w:t>
      </w:r>
      <w:r>
        <w:t>, les exportateurs américains tireraient bien plus d’avantages</w:t>
      </w:r>
      <w:r w:rsidR="00D15A24">
        <w:t xml:space="preserve"> que les européens</w:t>
      </w:r>
      <w:r>
        <w:t xml:space="preserve"> à un accord </w:t>
      </w:r>
      <w:r w:rsidR="000C0C07">
        <w:t>éliminant les tarifs de part</w:t>
      </w:r>
      <w:r>
        <w:t xml:space="preserve"> et d’autre.</w:t>
      </w:r>
    </w:p>
    <w:p w:rsidR="00290B3B" w:rsidRDefault="00290B3B" w:rsidP="00290B3B">
      <w:pPr>
        <w:spacing w:after="0"/>
      </w:pPr>
    </w:p>
    <w:p w:rsidR="004B58C7" w:rsidRPr="004073F0" w:rsidRDefault="004B58C7" w:rsidP="00290B3B">
      <w:pPr>
        <w:spacing w:after="0" w:line="181" w:lineRule="exact"/>
        <w:jc w:val="center"/>
        <w:textAlignment w:val="baseline"/>
        <w:rPr>
          <w:color w:val="000000"/>
          <w:sz w:val="18"/>
          <w:szCs w:val="18"/>
        </w:rPr>
      </w:pPr>
      <w:r w:rsidRPr="004073F0">
        <w:rPr>
          <w:color w:val="000000"/>
          <w:sz w:val="18"/>
          <w:szCs w:val="18"/>
        </w:rPr>
        <w:t>Tableau 4 – Droits de douane NPF moyens de l'UE et des EU sur céréales, produits laitiers, viandes congelées : 2012 ou 2013</w:t>
      </w:r>
      <w:r w:rsidR="00570F82" w:rsidRPr="004073F0">
        <w:rPr>
          <w:rStyle w:val="FootnoteReference"/>
          <w:color w:val="000000"/>
          <w:sz w:val="18"/>
          <w:szCs w:val="18"/>
        </w:rPr>
        <w:footnoteReference w:id="7"/>
      </w:r>
    </w:p>
    <w:tbl>
      <w:tblPr>
        <w:tblW w:w="5000" w:type="pct"/>
        <w:tblCellMar>
          <w:left w:w="0" w:type="dxa"/>
          <w:right w:w="0" w:type="dxa"/>
        </w:tblCellMar>
        <w:tblLook w:val="0000"/>
      </w:tblPr>
      <w:tblGrid>
        <w:gridCol w:w="538"/>
        <w:gridCol w:w="936"/>
        <w:gridCol w:w="675"/>
        <w:gridCol w:w="639"/>
        <w:gridCol w:w="527"/>
        <w:gridCol w:w="1169"/>
        <w:gridCol w:w="751"/>
        <w:gridCol w:w="1293"/>
        <w:gridCol w:w="1788"/>
        <w:gridCol w:w="841"/>
        <w:gridCol w:w="833"/>
      </w:tblGrid>
      <w:tr w:rsidR="004B58C7" w:rsidTr="00381224">
        <w:trPr>
          <w:trHeight w:hRule="exact" w:val="173"/>
        </w:trPr>
        <w:tc>
          <w:tcPr>
            <w:tcW w:w="269"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both"/>
              <w:textAlignment w:val="baseline"/>
              <w:rPr>
                <w:color w:val="000000"/>
                <w:sz w:val="16"/>
                <w:szCs w:val="16"/>
              </w:rPr>
            </w:pPr>
          </w:p>
        </w:tc>
        <w:tc>
          <w:tcPr>
            <w:tcW w:w="468"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r w:rsidRPr="00B32131">
              <w:rPr>
                <w:color w:val="000000"/>
                <w:sz w:val="16"/>
                <w:szCs w:val="16"/>
              </w:rPr>
              <w:t>Blé tendre</w:t>
            </w:r>
          </w:p>
        </w:tc>
        <w:tc>
          <w:tcPr>
            <w:tcW w:w="338" w:type="pct"/>
            <w:tcBorders>
              <w:top w:val="single" w:sz="5" w:space="0" w:color="000000"/>
              <w:left w:val="single" w:sz="5" w:space="0" w:color="000000"/>
              <w:bottom w:val="single" w:sz="5" w:space="0" w:color="000000"/>
              <w:right w:val="single" w:sz="5" w:space="0" w:color="000000"/>
            </w:tcBorders>
          </w:tcPr>
          <w:p w:rsidR="004B58C7" w:rsidRPr="00B32131" w:rsidRDefault="004B58C7" w:rsidP="00290B3B">
            <w:pPr>
              <w:spacing w:after="0"/>
              <w:jc w:val="center"/>
              <w:textAlignment w:val="baseline"/>
              <w:rPr>
                <w:color w:val="000000"/>
                <w:sz w:val="16"/>
                <w:szCs w:val="16"/>
              </w:rPr>
            </w:pPr>
            <w:r w:rsidRPr="00B32131">
              <w:rPr>
                <w:color w:val="000000"/>
                <w:sz w:val="16"/>
                <w:szCs w:val="16"/>
              </w:rPr>
              <w:t>Blé dur</w:t>
            </w:r>
          </w:p>
        </w:tc>
        <w:tc>
          <w:tcPr>
            <w:tcW w:w="320" w:type="pct"/>
            <w:tcBorders>
              <w:top w:val="single" w:sz="5" w:space="0" w:color="000000"/>
              <w:left w:val="single" w:sz="5" w:space="0" w:color="000000"/>
              <w:bottom w:val="single" w:sz="5" w:space="0" w:color="000000"/>
              <w:right w:val="single" w:sz="5" w:space="0" w:color="000000"/>
            </w:tcBorders>
          </w:tcPr>
          <w:p w:rsidR="004B58C7" w:rsidRPr="00B32131" w:rsidRDefault="004B58C7" w:rsidP="00290B3B">
            <w:pPr>
              <w:spacing w:after="0"/>
              <w:jc w:val="center"/>
              <w:textAlignment w:val="baseline"/>
              <w:rPr>
                <w:color w:val="000000"/>
                <w:sz w:val="16"/>
                <w:szCs w:val="16"/>
              </w:rPr>
            </w:pPr>
            <w:r w:rsidRPr="00B32131">
              <w:rPr>
                <w:color w:val="000000"/>
                <w:sz w:val="16"/>
                <w:szCs w:val="16"/>
              </w:rPr>
              <w:t>Riz</w:t>
            </w:r>
          </w:p>
        </w:tc>
        <w:tc>
          <w:tcPr>
            <w:tcW w:w="264" w:type="pct"/>
            <w:tcBorders>
              <w:top w:val="single" w:sz="5" w:space="0" w:color="000000"/>
              <w:left w:val="single" w:sz="5" w:space="0" w:color="000000"/>
              <w:bottom w:val="single" w:sz="5" w:space="0" w:color="000000"/>
              <w:right w:val="single" w:sz="5" w:space="0" w:color="000000"/>
            </w:tcBorders>
          </w:tcPr>
          <w:p w:rsidR="004B58C7" w:rsidRPr="00B32131" w:rsidRDefault="004B58C7" w:rsidP="00290B3B">
            <w:pPr>
              <w:spacing w:after="0"/>
              <w:jc w:val="center"/>
              <w:textAlignment w:val="baseline"/>
              <w:rPr>
                <w:color w:val="000000"/>
                <w:sz w:val="16"/>
                <w:szCs w:val="16"/>
              </w:rPr>
            </w:pPr>
            <w:r w:rsidRPr="00B32131">
              <w:rPr>
                <w:color w:val="000000"/>
                <w:sz w:val="16"/>
                <w:szCs w:val="16"/>
              </w:rPr>
              <w:t>Maïs</w:t>
            </w:r>
          </w:p>
        </w:tc>
        <w:tc>
          <w:tcPr>
            <w:tcW w:w="585" w:type="pct"/>
            <w:tcBorders>
              <w:top w:val="single" w:sz="5" w:space="0" w:color="000000"/>
              <w:left w:val="single" w:sz="5" w:space="0" w:color="000000"/>
              <w:bottom w:val="single" w:sz="5" w:space="0" w:color="000000"/>
              <w:right w:val="single" w:sz="5" w:space="0" w:color="000000"/>
            </w:tcBorders>
          </w:tcPr>
          <w:p w:rsidR="004B58C7" w:rsidRPr="00B32131" w:rsidRDefault="004B58C7" w:rsidP="00290B3B">
            <w:pPr>
              <w:spacing w:after="0"/>
              <w:jc w:val="center"/>
              <w:textAlignment w:val="baseline"/>
              <w:rPr>
                <w:color w:val="000000"/>
                <w:sz w:val="16"/>
                <w:szCs w:val="16"/>
              </w:rPr>
            </w:pPr>
            <w:r w:rsidRPr="00B32131">
              <w:rPr>
                <w:color w:val="000000"/>
                <w:sz w:val="16"/>
                <w:szCs w:val="16"/>
              </w:rPr>
              <w:t>Sucre raffiné</w:t>
            </w:r>
          </w:p>
        </w:tc>
        <w:tc>
          <w:tcPr>
            <w:tcW w:w="376" w:type="pct"/>
            <w:tcBorders>
              <w:top w:val="single" w:sz="5" w:space="0" w:color="000000"/>
              <w:left w:val="single" w:sz="5" w:space="0" w:color="000000"/>
              <w:bottom w:val="single" w:sz="5" w:space="0" w:color="000000"/>
              <w:right w:val="single" w:sz="5" w:space="0" w:color="000000"/>
            </w:tcBorders>
          </w:tcPr>
          <w:p w:rsidR="004B58C7" w:rsidRPr="00B32131" w:rsidRDefault="004B58C7" w:rsidP="00290B3B">
            <w:pPr>
              <w:spacing w:after="0"/>
              <w:jc w:val="center"/>
              <w:textAlignment w:val="baseline"/>
              <w:rPr>
                <w:color w:val="000000"/>
                <w:sz w:val="16"/>
                <w:szCs w:val="16"/>
              </w:rPr>
            </w:pPr>
            <w:r w:rsidRPr="00B32131">
              <w:rPr>
                <w:color w:val="000000"/>
                <w:sz w:val="16"/>
                <w:szCs w:val="16"/>
              </w:rPr>
              <w:t>Beurre</w:t>
            </w:r>
          </w:p>
        </w:tc>
        <w:tc>
          <w:tcPr>
            <w:tcW w:w="647" w:type="pct"/>
            <w:tcBorders>
              <w:top w:val="single" w:sz="5" w:space="0" w:color="000000"/>
              <w:left w:val="single" w:sz="5" w:space="0" w:color="000000"/>
              <w:bottom w:val="single" w:sz="5" w:space="0" w:color="000000"/>
              <w:right w:val="single" w:sz="5" w:space="0" w:color="000000"/>
            </w:tcBorders>
          </w:tcPr>
          <w:p w:rsidR="004B58C7" w:rsidRPr="00B32131" w:rsidRDefault="004B58C7" w:rsidP="00290B3B">
            <w:pPr>
              <w:spacing w:after="0"/>
              <w:jc w:val="center"/>
              <w:textAlignment w:val="baseline"/>
              <w:rPr>
                <w:color w:val="000000"/>
                <w:sz w:val="16"/>
                <w:szCs w:val="16"/>
              </w:rPr>
            </w:pPr>
            <w:r w:rsidRPr="00B32131">
              <w:rPr>
                <w:color w:val="000000"/>
                <w:sz w:val="16"/>
                <w:szCs w:val="16"/>
              </w:rPr>
              <w:t>Lait concentré</w:t>
            </w:r>
          </w:p>
        </w:tc>
        <w:tc>
          <w:tcPr>
            <w:tcW w:w="1733" w:type="pct"/>
            <w:gridSpan w:val="3"/>
            <w:tcBorders>
              <w:top w:val="single" w:sz="5" w:space="0" w:color="000000"/>
              <w:left w:val="single" w:sz="5" w:space="0" w:color="000000"/>
              <w:bottom w:val="single" w:sz="5" w:space="0" w:color="000000"/>
              <w:right w:val="single" w:sz="5" w:space="0" w:color="000000"/>
            </w:tcBorders>
          </w:tcPr>
          <w:p w:rsidR="004B58C7" w:rsidRPr="00B32131" w:rsidRDefault="004B58C7" w:rsidP="00290B3B">
            <w:pPr>
              <w:spacing w:after="0" w:line="161" w:lineRule="exact"/>
              <w:jc w:val="center"/>
              <w:textAlignment w:val="baseline"/>
              <w:rPr>
                <w:color w:val="000000"/>
                <w:sz w:val="16"/>
                <w:szCs w:val="16"/>
              </w:rPr>
            </w:pPr>
            <w:r w:rsidRPr="00B32131">
              <w:rPr>
                <w:color w:val="000000"/>
                <w:sz w:val="16"/>
                <w:szCs w:val="16"/>
              </w:rPr>
              <w:t>Viandes congelées en carcasses (ou ½)</w:t>
            </w:r>
          </w:p>
        </w:tc>
      </w:tr>
      <w:tr w:rsidR="004B58C7" w:rsidTr="00381224">
        <w:trPr>
          <w:trHeight w:hRule="exact" w:val="173"/>
        </w:trPr>
        <w:tc>
          <w:tcPr>
            <w:tcW w:w="269"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both"/>
              <w:textAlignment w:val="baseline"/>
              <w:rPr>
                <w:color w:val="000000"/>
                <w:sz w:val="16"/>
                <w:szCs w:val="16"/>
              </w:rPr>
            </w:pPr>
          </w:p>
        </w:tc>
        <w:tc>
          <w:tcPr>
            <w:tcW w:w="468"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p>
        </w:tc>
        <w:tc>
          <w:tcPr>
            <w:tcW w:w="338"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p>
        </w:tc>
        <w:tc>
          <w:tcPr>
            <w:tcW w:w="320"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p>
        </w:tc>
        <w:tc>
          <w:tcPr>
            <w:tcW w:w="264"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p>
        </w:tc>
        <w:tc>
          <w:tcPr>
            <w:tcW w:w="585"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p>
        </w:tc>
        <w:tc>
          <w:tcPr>
            <w:tcW w:w="376"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p>
        </w:tc>
        <w:tc>
          <w:tcPr>
            <w:tcW w:w="647"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textAlignment w:val="baseline"/>
              <w:rPr>
                <w:color w:val="000000"/>
                <w:sz w:val="16"/>
                <w:szCs w:val="16"/>
              </w:rPr>
            </w:pPr>
          </w:p>
        </w:tc>
        <w:tc>
          <w:tcPr>
            <w:tcW w:w="895"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r w:rsidRPr="00B32131">
              <w:rPr>
                <w:color w:val="000000"/>
                <w:sz w:val="16"/>
                <w:szCs w:val="16"/>
              </w:rPr>
              <w:t>bovine</w:t>
            </w:r>
          </w:p>
        </w:tc>
        <w:tc>
          <w:tcPr>
            <w:tcW w:w="421"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r w:rsidRPr="00B32131">
              <w:rPr>
                <w:color w:val="000000"/>
                <w:sz w:val="16"/>
                <w:szCs w:val="16"/>
              </w:rPr>
              <w:t>porcine</w:t>
            </w:r>
          </w:p>
        </w:tc>
        <w:tc>
          <w:tcPr>
            <w:tcW w:w="417"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r w:rsidRPr="00B32131">
              <w:rPr>
                <w:color w:val="000000"/>
                <w:sz w:val="16"/>
                <w:szCs w:val="16"/>
              </w:rPr>
              <w:t>volaille</w:t>
            </w:r>
          </w:p>
        </w:tc>
      </w:tr>
      <w:tr w:rsidR="004B58C7" w:rsidTr="00381224">
        <w:trPr>
          <w:trHeight w:hRule="exact" w:val="173"/>
        </w:trPr>
        <w:tc>
          <w:tcPr>
            <w:tcW w:w="269"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both"/>
              <w:textAlignment w:val="baseline"/>
              <w:rPr>
                <w:color w:val="000000"/>
                <w:sz w:val="16"/>
                <w:szCs w:val="16"/>
              </w:rPr>
            </w:pPr>
            <w:r w:rsidRPr="00B32131">
              <w:rPr>
                <w:color w:val="000000"/>
                <w:sz w:val="16"/>
                <w:szCs w:val="16"/>
              </w:rPr>
              <w:t>USA</w:t>
            </w:r>
          </w:p>
        </w:tc>
        <w:tc>
          <w:tcPr>
            <w:tcW w:w="468"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r w:rsidRPr="00B32131">
              <w:rPr>
                <w:color w:val="000000"/>
                <w:sz w:val="16"/>
                <w:szCs w:val="16"/>
              </w:rPr>
              <w:t>3,5 $/t</w:t>
            </w:r>
          </w:p>
        </w:tc>
        <w:tc>
          <w:tcPr>
            <w:tcW w:w="338"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r w:rsidRPr="00B32131">
              <w:rPr>
                <w:color w:val="000000"/>
                <w:sz w:val="16"/>
                <w:szCs w:val="16"/>
              </w:rPr>
              <w:t>6,5 $/t</w:t>
            </w:r>
          </w:p>
        </w:tc>
        <w:tc>
          <w:tcPr>
            <w:tcW w:w="320"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r w:rsidRPr="00B32131">
              <w:rPr>
                <w:color w:val="000000"/>
                <w:sz w:val="16"/>
                <w:szCs w:val="16"/>
              </w:rPr>
              <w:t>11,2%</w:t>
            </w:r>
          </w:p>
        </w:tc>
        <w:tc>
          <w:tcPr>
            <w:tcW w:w="264"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r w:rsidRPr="00B32131">
              <w:rPr>
                <w:color w:val="000000"/>
                <w:sz w:val="16"/>
                <w:szCs w:val="16"/>
              </w:rPr>
              <w:t>5 $/t</w:t>
            </w:r>
          </w:p>
        </w:tc>
        <w:tc>
          <w:tcPr>
            <w:tcW w:w="585" w:type="pct"/>
            <w:tcBorders>
              <w:top w:val="single" w:sz="5" w:space="0" w:color="000000"/>
              <w:left w:val="single" w:sz="5" w:space="0" w:color="000000"/>
              <w:bottom w:val="single" w:sz="5" w:space="0" w:color="000000"/>
              <w:right w:val="single" w:sz="5" w:space="0" w:color="000000"/>
            </w:tcBorders>
            <w:vAlign w:val="center"/>
          </w:tcPr>
          <w:p w:rsidR="004B58C7" w:rsidRDefault="004B58C7" w:rsidP="00290B3B">
            <w:pPr>
              <w:spacing w:after="0" w:line="161" w:lineRule="exact"/>
              <w:jc w:val="center"/>
              <w:textAlignment w:val="baseline"/>
              <w:rPr>
                <w:color w:val="000000"/>
                <w:sz w:val="16"/>
                <w:szCs w:val="16"/>
              </w:rPr>
            </w:pPr>
            <w:r>
              <w:rPr>
                <w:color w:val="000000"/>
                <w:sz w:val="16"/>
                <w:szCs w:val="16"/>
              </w:rPr>
              <w:t>357</w:t>
            </w:r>
            <w:r w:rsidRPr="00B32131">
              <w:rPr>
                <w:color w:val="000000"/>
                <w:sz w:val="16"/>
                <w:szCs w:val="16"/>
              </w:rPr>
              <w:t>,</w:t>
            </w:r>
            <w:r>
              <w:rPr>
                <w:color w:val="000000"/>
                <w:sz w:val="16"/>
                <w:szCs w:val="16"/>
              </w:rPr>
              <w:t>4</w:t>
            </w:r>
            <w:r w:rsidRPr="00B32131">
              <w:rPr>
                <w:color w:val="000000"/>
                <w:sz w:val="16"/>
                <w:szCs w:val="16"/>
              </w:rPr>
              <w:t xml:space="preserve"> $/t</w:t>
            </w:r>
            <w:r>
              <w:rPr>
                <w:color w:val="000000"/>
                <w:sz w:val="16"/>
                <w:szCs w:val="16"/>
              </w:rPr>
              <w:t xml:space="preserve"> *</w:t>
            </w:r>
          </w:p>
          <w:p w:rsidR="004B58C7" w:rsidRDefault="004B58C7" w:rsidP="00290B3B">
            <w:pPr>
              <w:spacing w:after="0" w:line="161" w:lineRule="exact"/>
              <w:jc w:val="center"/>
              <w:textAlignment w:val="baseline"/>
              <w:rPr>
                <w:color w:val="000000"/>
                <w:sz w:val="16"/>
                <w:szCs w:val="16"/>
              </w:rPr>
            </w:pPr>
          </w:p>
          <w:p w:rsidR="004B58C7" w:rsidRDefault="004B58C7" w:rsidP="00290B3B">
            <w:pPr>
              <w:spacing w:after="0" w:line="161" w:lineRule="exact"/>
              <w:jc w:val="center"/>
              <w:textAlignment w:val="baseline"/>
              <w:rPr>
                <w:color w:val="000000"/>
                <w:sz w:val="16"/>
                <w:szCs w:val="16"/>
              </w:rPr>
            </w:pPr>
            <w:r>
              <w:rPr>
                <w:color w:val="000000"/>
                <w:sz w:val="16"/>
                <w:szCs w:val="16"/>
              </w:rPr>
              <w:t xml:space="preserve"> </w:t>
            </w:r>
          </w:p>
          <w:p w:rsidR="004B58C7" w:rsidRPr="00B32131" w:rsidRDefault="004B58C7" w:rsidP="00290B3B">
            <w:pPr>
              <w:spacing w:after="0" w:line="161" w:lineRule="exact"/>
              <w:jc w:val="center"/>
              <w:textAlignment w:val="baseline"/>
              <w:rPr>
                <w:color w:val="000000"/>
                <w:sz w:val="16"/>
                <w:szCs w:val="16"/>
              </w:rPr>
            </w:pPr>
            <w:r>
              <w:rPr>
                <w:color w:val="000000"/>
                <w:sz w:val="16"/>
                <w:szCs w:val="16"/>
              </w:rPr>
              <w:t>sauvegarde</w:t>
            </w:r>
          </w:p>
        </w:tc>
        <w:tc>
          <w:tcPr>
            <w:tcW w:w="376"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r w:rsidRPr="00B32131">
              <w:rPr>
                <w:color w:val="000000"/>
                <w:sz w:val="16"/>
                <w:szCs w:val="16"/>
              </w:rPr>
              <w:t>123 $/t</w:t>
            </w:r>
          </w:p>
        </w:tc>
        <w:tc>
          <w:tcPr>
            <w:tcW w:w="647"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textAlignment w:val="baseline"/>
              <w:rPr>
                <w:color w:val="000000"/>
                <w:sz w:val="16"/>
                <w:szCs w:val="16"/>
              </w:rPr>
            </w:pPr>
            <w:r w:rsidRPr="00B32131">
              <w:rPr>
                <w:color w:val="000000"/>
                <w:sz w:val="16"/>
                <w:szCs w:val="16"/>
              </w:rPr>
              <w:t>33 $/t</w:t>
            </w:r>
          </w:p>
        </w:tc>
        <w:tc>
          <w:tcPr>
            <w:tcW w:w="895"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r w:rsidRPr="00B32131">
              <w:rPr>
                <w:color w:val="000000"/>
                <w:sz w:val="16"/>
                <w:szCs w:val="16"/>
              </w:rPr>
              <w:t>44 $/t</w:t>
            </w:r>
          </w:p>
        </w:tc>
        <w:tc>
          <w:tcPr>
            <w:tcW w:w="421"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r w:rsidRPr="00B32131">
              <w:rPr>
                <w:color w:val="000000"/>
                <w:sz w:val="16"/>
                <w:szCs w:val="16"/>
              </w:rPr>
              <w:t>0</w:t>
            </w:r>
          </w:p>
        </w:tc>
        <w:tc>
          <w:tcPr>
            <w:tcW w:w="417" w:type="pct"/>
            <w:tcBorders>
              <w:top w:val="single" w:sz="5"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r w:rsidRPr="00B32131">
              <w:rPr>
                <w:color w:val="000000"/>
                <w:sz w:val="16"/>
                <w:szCs w:val="16"/>
              </w:rPr>
              <w:t>88 $/t</w:t>
            </w:r>
          </w:p>
        </w:tc>
      </w:tr>
      <w:tr w:rsidR="004B58C7" w:rsidTr="00381224">
        <w:trPr>
          <w:trHeight w:hRule="exact" w:val="163"/>
        </w:trPr>
        <w:tc>
          <w:tcPr>
            <w:tcW w:w="269" w:type="pct"/>
            <w:tcBorders>
              <w:top w:val="single" w:sz="5" w:space="0" w:color="000000"/>
              <w:left w:val="single" w:sz="5" w:space="0" w:color="000000"/>
              <w:bottom w:val="none" w:sz="0" w:space="0" w:color="000000"/>
              <w:right w:val="single" w:sz="5" w:space="0" w:color="000000"/>
            </w:tcBorders>
            <w:vAlign w:val="center"/>
          </w:tcPr>
          <w:p w:rsidR="004B58C7" w:rsidRPr="00B32131" w:rsidRDefault="004B58C7" w:rsidP="00290B3B">
            <w:pPr>
              <w:spacing w:after="0" w:line="161" w:lineRule="exact"/>
              <w:jc w:val="both"/>
              <w:textAlignment w:val="baseline"/>
              <w:rPr>
                <w:color w:val="000000"/>
                <w:sz w:val="16"/>
                <w:szCs w:val="16"/>
              </w:rPr>
            </w:pPr>
            <w:r w:rsidRPr="00B32131">
              <w:rPr>
                <w:color w:val="000000"/>
                <w:sz w:val="16"/>
                <w:szCs w:val="16"/>
              </w:rPr>
              <w:t>EU27</w:t>
            </w:r>
          </w:p>
        </w:tc>
        <w:tc>
          <w:tcPr>
            <w:tcW w:w="468" w:type="pct"/>
            <w:tcBorders>
              <w:top w:val="single" w:sz="5" w:space="0" w:color="000000"/>
              <w:left w:val="single" w:sz="5" w:space="0" w:color="000000"/>
              <w:bottom w:val="none" w:sz="0" w:space="0" w:color="000000"/>
              <w:right w:val="single" w:sz="5" w:space="0" w:color="000000"/>
            </w:tcBorders>
            <w:vAlign w:val="center"/>
          </w:tcPr>
          <w:p w:rsidR="004B58C7" w:rsidRPr="00B32131" w:rsidRDefault="004B58C7" w:rsidP="00290B3B">
            <w:pPr>
              <w:spacing w:after="0" w:line="162" w:lineRule="exact"/>
              <w:jc w:val="center"/>
              <w:textAlignment w:val="baseline"/>
              <w:rPr>
                <w:color w:val="000000"/>
                <w:sz w:val="16"/>
                <w:szCs w:val="16"/>
              </w:rPr>
            </w:pPr>
            <w:r w:rsidRPr="00B32131">
              <w:rPr>
                <w:color w:val="000000"/>
                <w:sz w:val="16"/>
                <w:szCs w:val="16"/>
              </w:rPr>
              <w:t>95 €/t</w:t>
            </w:r>
          </w:p>
        </w:tc>
        <w:tc>
          <w:tcPr>
            <w:tcW w:w="338" w:type="pct"/>
            <w:tcBorders>
              <w:top w:val="single" w:sz="5" w:space="0" w:color="000000"/>
              <w:left w:val="single" w:sz="5" w:space="0" w:color="000000"/>
              <w:bottom w:val="none" w:sz="0" w:space="0" w:color="000000"/>
              <w:right w:val="single" w:sz="5" w:space="0" w:color="000000"/>
            </w:tcBorders>
            <w:vAlign w:val="center"/>
          </w:tcPr>
          <w:p w:rsidR="004B58C7" w:rsidRPr="00B32131" w:rsidRDefault="004B58C7" w:rsidP="00290B3B">
            <w:pPr>
              <w:spacing w:after="0" w:line="162" w:lineRule="exact"/>
              <w:jc w:val="center"/>
              <w:textAlignment w:val="baseline"/>
              <w:rPr>
                <w:color w:val="000000"/>
                <w:sz w:val="16"/>
                <w:szCs w:val="16"/>
              </w:rPr>
            </w:pPr>
            <w:r w:rsidRPr="00B32131">
              <w:rPr>
                <w:color w:val="000000"/>
                <w:sz w:val="16"/>
                <w:szCs w:val="16"/>
              </w:rPr>
              <w:t>148 €/t</w:t>
            </w:r>
          </w:p>
        </w:tc>
        <w:tc>
          <w:tcPr>
            <w:tcW w:w="320" w:type="pct"/>
            <w:tcBorders>
              <w:top w:val="single" w:sz="5" w:space="0" w:color="000000"/>
              <w:left w:val="single" w:sz="5" w:space="0" w:color="000000"/>
              <w:bottom w:val="none" w:sz="0" w:space="0" w:color="000000"/>
              <w:right w:val="single" w:sz="5" w:space="0" w:color="000000"/>
            </w:tcBorders>
            <w:vAlign w:val="center"/>
          </w:tcPr>
          <w:p w:rsidR="004B58C7" w:rsidRPr="00B32131" w:rsidRDefault="004B58C7" w:rsidP="00290B3B">
            <w:pPr>
              <w:spacing w:after="0" w:line="162" w:lineRule="exact"/>
              <w:jc w:val="center"/>
              <w:textAlignment w:val="baseline"/>
              <w:rPr>
                <w:color w:val="000000"/>
                <w:sz w:val="16"/>
                <w:szCs w:val="16"/>
              </w:rPr>
            </w:pPr>
            <w:r w:rsidRPr="00B32131">
              <w:rPr>
                <w:color w:val="000000"/>
                <w:sz w:val="16"/>
                <w:szCs w:val="16"/>
              </w:rPr>
              <w:t>175 €/t</w:t>
            </w:r>
          </w:p>
        </w:tc>
        <w:tc>
          <w:tcPr>
            <w:tcW w:w="264" w:type="pct"/>
            <w:tcBorders>
              <w:top w:val="single" w:sz="5" w:space="0" w:color="000000"/>
              <w:left w:val="single" w:sz="5" w:space="0" w:color="000000"/>
              <w:bottom w:val="none" w:sz="0" w:space="0" w:color="000000"/>
              <w:right w:val="single" w:sz="5" w:space="0" w:color="000000"/>
            </w:tcBorders>
            <w:vAlign w:val="center"/>
          </w:tcPr>
          <w:p w:rsidR="004B58C7" w:rsidRPr="00B32131" w:rsidRDefault="004B58C7" w:rsidP="00290B3B">
            <w:pPr>
              <w:spacing w:after="0" w:line="162" w:lineRule="exact"/>
              <w:jc w:val="center"/>
              <w:textAlignment w:val="baseline"/>
              <w:rPr>
                <w:color w:val="000000"/>
                <w:sz w:val="16"/>
                <w:szCs w:val="16"/>
              </w:rPr>
            </w:pPr>
            <w:r w:rsidRPr="00B32131">
              <w:rPr>
                <w:color w:val="000000"/>
                <w:sz w:val="16"/>
                <w:szCs w:val="16"/>
              </w:rPr>
              <w:t>94 €/t</w:t>
            </w:r>
          </w:p>
        </w:tc>
        <w:tc>
          <w:tcPr>
            <w:tcW w:w="585" w:type="pct"/>
            <w:tcBorders>
              <w:top w:val="single" w:sz="5" w:space="0" w:color="000000"/>
              <w:left w:val="single" w:sz="5" w:space="0" w:color="000000"/>
              <w:bottom w:val="none" w:sz="0" w:space="0" w:color="000000"/>
              <w:right w:val="single" w:sz="5" w:space="0" w:color="000000"/>
            </w:tcBorders>
            <w:vAlign w:val="center"/>
          </w:tcPr>
          <w:p w:rsidR="004B58C7" w:rsidRPr="00B32131" w:rsidRDefault="004B58C7" w:rsidP="00290B3B">
            <w:pPr>
              <w:spacing w:after="0" w:line="162" w:lineRule="exact"/>
              <w:jc w:val="center"/>
              <w:textAlignment w:val="baseline"/>
              <w:rPr>
                <w:color w:val="000000"/>
                <w:sz w:val="16"/>
                <w:szCs w:val="16"/>
              </w:rPr>
            </w:pPr>
            <w:r w:rsidRPr="00B32131">
              <w:rPr>
                <w:color w:val="000000"/>
                <w:sz w:val="16"/>
                <w:szCs w:val="16"/>
              </w:rPr>
              <w:t>419 €/t</w:t>
            </w:r>
          </w:p>
        </w:tc>
        <w:tc>
          <w:tcPr>
            <w:tcW w:w="376" w:type="pct"/>
            <w:tcBorders>
              <w:top w:val="single" w:sz="5" w:space="0" w:color="000000"/>
              <w:left w:val="single" w:sz="5" w:space="0" w:color="000000"/>
              <w:bottom w:val="none" w:sz="0" w:space="0" w:color="000000"/>
              <w:right w:val="single" w:sz="5" w:space="0" w:color="000000"/>
            </w:tcBorders>
            <w:vAlign w:val="center"/>
          </w:tcPr>
          <w:p w:rsidR="004B58C7" w:rsidRPr="00B32131" w:rsidRDefault="004B58C7" w:rsidP="00290B3B">
            <w:pPr>
              <w:spacing w:after="0" w:line="161" w:lineRule="exact"/>
              <w:jc w:val="center"/>
              <w:textAlignment w:val="baseline"/>
              <w:rPr>
                <w:color w:val="000000"/>
                <w:sz w:val="16"/>
                <w:szCs w:val="16"/>
              </w:rPr>
            </w:pPr>
            <w:r w:rsidRPr="00B32131">
              <w:rPr>
                <w:color w:val="000000"/>
                <w:sz w:val="16"/>
                <w:szCs w:val="16"/>
              </w:rPr>
              <w:t>1896-</w:t>
            </w:r>
          </w:p>
        </w:tc>
        <w:tc>
          <w:tcPr>
            <w:tcW w:w="647" w:type="pct"/>
            <w:tcBorders>
              <w:top w:val="single" w:sz="5" w:space="0" w:color="000000"/>
              <w:left w:val="single" w:sz="5" w:space="0" w:color="000000"/>
              <w:bottom w:val="none" w:sz="0" w:space="0" w:color="000000"/>
              <w:right w:val="single" w:sz="5" w:space="0" w:color="000000"/>
            </w:tcBorders>
            <w:vAlign w:val="center"/>
          </w:tcPr>
          <w:p w:rsidR="004B58C7" w:rsidRPr="00B32131" w:rsidRDefault="004B58C7" w:rsidP="00290B3B">
            <w:pPr>
              <w:spacing w:after="0" w:line="162" w:lineRule="exact"/>
              <w:textAlignment w:val="baseline"/>
              <w:rPr>
                <w:color w:val="000000"/>
                <w:sz w:val="16"/>
                <w:szCs w:val="16"/>
              </w:rPr>
            </w:pPr>
            <w:r w:rsidRPr="00B32131">
              <w:rPr>
                <w:color w:val="000000"/>
                <w:sz w:val="16"/>
                <w:szCs w:val="16"/>
              </w:rPr>
              <w:t>1254 €/t</w:t>
            </w:r>
          </w:p>
        </w:tc>
        <w:tc>
          <w:tcPr>
            <w:tcW w:w="895" w:type="pct"/>
            <w:tcBorders>
              <w:top w:val="single" w:sz="5" w:space="0" w:color="000000"/>
              <w:left w:val="single" w:sz="5" w:space="0" w:color="000000"/>
              <w:bottom w:val="none" w:sz="0" w:space="0" w:color="000000"/>
              <w:right w:val="single" w:sz="5" w:space="0" w:color="000000"/>
            </w:tcBorders>
            <w:vAlign w:val="center"/>
          </w:tcPr>
          <w:p w:rsidR="004B58C7" w:rsidRPr="00B32131" w:rsidRDefault="004B58C7" w:rsidP="00290B3B">
            <w:pPr>
              <w:spacing w:after="0" w:line="162" w:lineRule="exact"/>
              <w:jc w:val="center"/>
              <w:textAlignment w:val="baseline"/>
              <w:rPr>
                <w:color w:val="000000"/>
                <w:sz w:val="16"/>
                <w:szCs w:val="16"/>
              </w:rPr>
            </w:pPr>
            <w:r w:rsidRPr="00B32131">
              <w:rPr>
                <w:color w:val="000000"/>
                <w:sz w:val="16"/>
                <w:szCs w:val="16"/>
              </w:rPr>
              <w:t>12,8%+1768 €/t</w:t>
            </w:r>
          </w:p>
        </w:tc>
        <w:tc>
          <w:tcPr>
            <w:tcW w:w="421" w:type="pct"/>
            <w:tcBorders>
              <w:top w:val="single" w:sz="5" w:space="0" w:color="000000"/>
              <w:left w:val="single" w:sz="5" w:space="0" w:color="000000"/>
              <w:bottom w:val="none" w:sz="0" w:space="0" w:color="000000"/>
              <w:right w:val="single" w:sz="5" w:space="0" w:color="000000"/>
            </w:tcBorders>
            <w:vAlign w:val="center"/>
          </w:tcPr>
          <w:p w:rsidR="004B58C7" w:rsidRPr="00B32131" w:rsidRDefault="004B58C7" w:rsidP="00290B3B">
            <w:pPr>
              <w:spacing w:after="0" w:line="162" w:lineRule="exact"/>
              <w:jc w:val="center"/>
              <w:textAlignment w:val="baseline"/>
              <w:rPr>
                <w:color w:val="000000"/>
                <w:sz w:val="16"/>
                <w:szCs w:val="16"/>
              </w:rPr>
            </w:pPr>
            <w:r w:rsidRPr="00B32131">
              <w:rPr>
                <w:color w:val="000000"/>
                <w:sz w:val="16"/>
                <w:szCs w:val="16"/>
              </w:rPr>
              <w:t>536 €/t</w:t>
            </w:r>
          </w:p>
        </w:tc>
        <w:tc>
          <w:tcPr>
            <w:tcW w:w="417" w:type="pct"/>
            <w:tcBorders>
              <w:top w:val="single" w:sz="5" w:space="0" w:color="000000"/>
              <w:left w:val="single" w:sz="5" w:space="0" w:color="000000"/>
              <w:bottom w:val="none" w:sz="0" w:space="0" w:color="000000"/>
              <w:right w:val="single" w:sz="5" w:space="0" w:color="000000"/>
            </w:tcBorders>
            <w:vAlign w:val="center"/>
          </w:tcPr>
          <w:p w:rsidR="004B58C7" w:rsidRPr="00B32131" w:rsidRDefault="004B58C7" w:rsidP="00290B3B">
            <w:pPr>
              <w:spacing w:after="0" w:line="162" w:lineRule="exact"/>
              <w:jc w:val="center"/>
              <w:textAlignment w:val="baseline"/>
              <w:rPr>
                <w:color w:val="000000"/>
                <w:sz w:val="16"/>
                <w:szCs w:val="16"/>
              </w:rPr>
            </w:pPr>
            <w:r w:rsidRPr="00B32131">
              <w:rPr>
                <w:color w:val="000000"/>
                <w:sz w:val="16"/>
                <w:szCs w:val="16"/>
              </w:rPr>
              <w:t>299 €/t</w:t>
            </w:r>
          </w:p>
        </w:tc>
      </w:tr>
      <w:tr w:rsidR="004B58C7" w:rsidTr="00381224">
        <w:trPr>
          <w:trHeight w:hRule="exact" w:val="168"/>
        </w:trPr>
        <w:tc>
          <w:tcPr>
            <w:tcW w:w="269" w:type="pct"/>
            <w:tcBorders>
              <w:top w:val="none" w:sz="0" w:space="0" w:color="000000"/>
              <w:left w:val="single" w:sz="5" w:space="0" w:color="000000"/>
              <w:bottom w:val="single" w:sz="5" w:space="0" w:color="000000"/>
              <w:right w:val="single" w:sz="5" w:space="0" w:color="000000"/>
            </w:tcBorders>
          </w:tcPr>
          <w:p w:rsidR="004B58C7" w:rsidRPr="00B32131" w:rsidRDefault="004B58C7" w:rsidP="00290B3B">
            <w:pPr>
              <w:spacing w:after="0"/>
              <w:textAlignment w:val="baseline"/>
              <w:rPr>
                <w:color w:val="000000"/>
                <w:sz w:val="16"/>
                <w:szCs w:val="16"/>
              </w:rPr>
            </w:pPr>
          </w:p>
        </w:tc>
        <w:tc>
          <w:tcPr>
            <w:tcW w:w="468" w:type="pct"/>
            <w:tcBorders>
              <w:top w:val="none" w:sz="0" w:space="0" w:color="000000"/>
              <w:left w:val="single" w:sz="5" w:space="0" w:color="000000"/>
              <w:bottom w:val="single" w:sz="5" w:space="0" w:color="000000"/>
              <w:right w:val="single" w:sz="5" w:space="0" w:color="000000"/>
            </w:tcBorders>
          </w:tcPr>
          <w:p w:rsidR="004B58C7" w:rsidRPr="00B32131" w:rsidRDefault="004B58C7" w:rsidP="00290B3B">
            <w:pPr>
              <w:spacing w:after="0"/>
              <w:textAlignment w:val="baseline"/>
              <w:rPr>
                <w:color w:val="000000"/>
                <w:sz w:val="16"/>
                <w:szCs w:val="16"/>
              </w:rPr>
            </w:pPr>
          </w:p>
        </w:tc>
        <w:tc>
          <w:tcPr>
            <w:tcW w:w="338" w:type="pct"/>
            <w:tcBorders>
              <w:top w:val="none" w:sz="0" w:space="0" w:color="000000"/>
              <w:left w:val="single" w:sz="5" w:space="0" w:color="000000"/>
              <w:bottom w:val="single" w:sz="5" w:space="0" w:color="000000"/>
              <w:right w:val="single" w:sz="5" w:space="0" w:color="000000"/>
            </w:tcBorders>
          </w:tcPr>
          <w:p w:rsidR="004B58C7" w:rsidRPr="00B32131" w:rsidRDefault="004B58C7" w:rsidP="00290B3B">
            <w:pPr>
              <w:spacing w:after="0"/>
              <w:textAlignment w:val="baseline"/>
              <w:rPr>
                <w:color w:val="000000"/>
                <w:sz w:val="16"/>
                <w:szCs w:val="16"/>
              </w:rPr>
            </w:pPr>
          </w:p>
        </w:tc>
        <w:tc>
          <w:tcPr>
            <w:tcW w:w="320" w:type="pct"/>
            <w:tcBorders>
              <w:top w:val="none" w:sz="0" w:space="0" w:color="000000"/>
              <w:left w:val="single" w:sz="5" w:space="0" w:color="000000"/>
              <w:bottom w:val="single" w:sz="5" w:space="0" w:color="000000"/>
              <w:right w:val="single" w:sz="5" w:space="0" w:color="000000"/>
            </w:tcBorders>
          </w:tcPr>
          <w:p w:rsidR="004B58C7" w:rsidRPr="00B32131" w:rsidRDefault="004B58C7" w:rsidP="00290B3B">
            <w:pPr>
              <w:spacing w:after="0"/>
              <w:textAlignment w:val="baseline"/>
              <w:rPr>
                <w:color w:val="000000"/>
                <w:sz w:val="16"/>
                <w:szCs w:val="16"/>
              </w:rPr>
            </w:pPr>
          </w:p>
        </w:tc>
        <w:tc>
          <w:tcPr>
            <w:tcW w:w="264" w:type="pct"/>
            <w:tcBorders>
              <w:top w:val="none" w:sz="0" w:space="0" w:color="000000"/>
              <w:left w:val="single" w:sz="5" w:space="0" w:color="000000"/>
              <w:bottom w:val="single" w:sz="5" w:space="0" w:color="000000"/>
              <w:right w:val="single" w:sz="5" w:space="0" w:color="000000"/>
            </w:tcBorders>
          </w:tcPr>
          <w:p w:rsidR="004B58C7" w:rsidRPr="00B32131" w:rsidRDefault="004B58C7" w:rsidP="00290B3B">
            <w:pPr>
              <w:spacing w:after="0"/>
              <w:textAlignment w:val="baseline"/>
              <w:rPr>
                <w:color w:val="000000"/>
                <w:sz w:val="16"/>
                <w:szCs w:val="16"/>
              </w:rPr>
            </w:pPr>
          </w:p>
        </w:tc>
        <w:tc>
          <w:tcPr>
            <w:tcW w:w="585" w:type="pct"/>
            <w:tcBorders>
              <w:top w:val="none" w:sz="0" w:space="0" w:color="000000"/>
              <w:left w:val="single" w:sz="5" w:space="0" w:color="000000"/>
              <w:bottom w:val="single" w:sz="5" w:space="0" w:color="000000"/>
              <w:right w:val="single" w:sz="5" w:space="0" w:color="000000"/>
            </w:tcBorders>
          </w:tcPr>
          <w:p w:rsidR="004B58C7" w:rsidRPr="00B32131" w:rsidRDefault="004B58C7" w:rsidP="00290B3B">
            <w:pPr>
              <w:spacing w:after="0"/>
              <w:textAlignment w:val="baseline"/>
              <w:rPr>
                <w:color w:val="000000"/>
                <w:sz w:val="16"/>
                <w:szCs w:val="16"/>
              </w:rPr>
            </w:pPr>
          </w:p>
        </w:tc>
        <w:tc>
          <w:tcPr>
            <w:tcW w:w="376" w:type="pct"/>
            <w:tcBorders>
              <w:top w:val="none" w:sz="0" w:space="0" w:color="000000"/>
              <w:left w:val="single" w:sz="5" w:space="0" w:color="000000"/>
              <w:bottom w:val="single" w:sz="5" w:space="0" w:color="000000"/>
              <w:right w:val="single" w:sz="5" w:space="0" w:color="000000"/>
            </w:tcBorders>
            <w:vAlign w:val="center"/>
          </w:tcPr>
          <w:p w:rsidR="004B58C7" w:rsidRPr="00B32131" w:rsidRDefault="004B58C7" w:rsidP="00290B3B">
            <w:pPr>
              <w:spacing w:after="0" w:line="158" w:lineRule="exact"/>
              <w:jc w:val="center"/>
              <w:textAlignment w:val="baseline"/>
              <w:rPr>
                <w:color w:val="000000"/>
                <w:sz w:val="16"/>
                <w:szCs w:val="16"/>
              </w:rPr>
            </w:pPr>
            <w:r w:rsidRPr="00B32131">
              <w:rPr>
                <w:color w:val="000000"/>
                <w:sz w:val="16"/>
                <w:szCs w:val="16"/>
              </w:rPr>
              <w:t>2313 €/t</w:t>
            </w:r>
          </w:p>
        </w:tc>
        <w:tc>
          <w:tcPr>
            <w:tcW w:w="647" w:type="pct"/>
            <w:tcBorders>
              <w:top w:val="none" w:sz="0" w:space="0" w:color="000000"/>
              <w:left w:val="single" w:sz="5" w:space="0" w:color="000000"/>
              <w:bottom w:val="single" w:sz="5" w:space="0" w:color="000000"/>
              <w:right w:val="single" w:sz="5" w:space="0" w:color="000000"/>
            </w:tcBorders>
          </w:tcPr>
          <w:p w:rsidR="004B58C7" w:rsidRPr="00B32131" w:rsidRDefault="004B58C7" w:rsidP="00290B3B">
            <w:pPr>
              <w:spacing w:after="0"/>
              <w:textAlignment w:val="baseline"/>
              <w:rPr>
                <w:color w:val="000000"/>
                <w:sz w:val="16"/>
                <w:szCs w:val="16"/>
              </w:rPr>
            </w:pPr>
          </w:p>
        </w:tc>
        <w:tc>
          <w:tcPr>
            <w:tcW w:w="895" w:type="pct"/>
            <w:tcBorders>
              <w:top w:val="none" w:sz="0" w:space="0" w:color="000000"/>
              <w:left w:val="single" w:sz="5" w:space="0" w:color="000000"/>
              <w:bottom w:val="single" w:sz="5" w:space="0" w:color="000000"/>
              <w:right w:val="single" w:sz="5" w:space="0" w:color="000000"/>
            </w:tcBorders>
          </w:tcPr>
          <w:p w:rsidR="004B58C7" w:rsidRPr="00B32131" w:rsidRDefault="004B58C7" w:rsidP="00290B3B">
            <w:pPr>
              <w:spacing w:after="0"/>
              <w:textAlignment w:val="baseline"/>
              <w:rPr>
                <w:color w:val="000000"/>
                <w:sz w:val="16"/>
                <w:szCs w:val="16"/>
              </w:rPr>
            </w:pPr>
          </w:p>
        </w:tc>
        <w:tc>
          <w:tcPr>
            <w:tcW w:w="421" w:type="pct"/>
            <w:tcBorders>
              <w:top w:val="none" w:sz="0" w:space="0" w:color="000000"/>
              <w:left w:val="single" w:sz="5" w:space="0" w:color="000000"/>
              <w:bottom w:val="single" w:sz="5" w:space="0" w:color="000000"/>
              <w:right w:val="single" w:sz="5" w:space="0" w:color="000000"/>
            </w:tcBorders>
          </w:tcPr>
          <w:p w:rsidR="004B58C7" w:rsidRPr="00B32131" w:rsidRDefault="004B58C7" w:rsidP="00290B3B">
            <w:pPr>
              <w:spacing w:after="0"/>
              <w:textAlignment w:val="baseline"/>
              <w:rPr>
                <w:color w:val="000000"/>
                <w:sz w:val="16"/>
                <w:szCs w:val="16"/>
              </w:rPr>
            </w:pPr>
          </w:p>
        </w:tc>
        <w:tc>
          <w:tcPr>
            <w:tcW w:w="417" w:type="pct"/>
            <w:tcBorders>
              <w:top w:val="none" w:sz="0" w:space="0" w:color="000000"/>
              <w:left w:val="single" w:sz="5" w:space="0" w:color="000000"/>
              <w:bottom w:val="single" w:sz="5" w:space="0" w:color="000000"/>
              <w:right w:val="single" w:sz="5" w:space="0" w:color="000000"/>
            </w:tcBorders>
          </w:tcPr>
          <w:p w:rsidR="004B58C7" w:rsidRPr="00B32131" w:rsidRDefault="004B58C7" w:rsidP="00290B3B">
            <w:pPr>
              <w:spacing w:after="0"/>
              <w:textAlignment w:val="baseline"/>
              <w:rPr>
                <w:color w:val="000000"/>
                <w:sz w:val="16"/>
                <w:szCs w:val="16"/>
              </w:rPr>
            </w:pPr>
          </w:p>
        </w:tc>
      </w:tr>
    </w:tbl>
    <w:p w:rsidR="00290B3B" w:rsidRDefault="00290B3B" w:rsidP="00290B3B">
      <w:pPr>
        <w:spacing w:after="0"/>
      </w:pPr>
    </w:p>
    <w:p w:rsidR="004073F0" w:rsidRDefault="004073F0" w:rsidP="00290B3B">
      <w:pPr>
        <w:spacing w:after="0"/>
      </w:pPr>
      <w:r>
        <w:t xml:space="preserve">Face au </w:t>
      </w:r>
      <w:proofErr w:type="spellStart"/>
      <w:r>
        <w:t>feedlots</w:t>
      </w:r>
      <w:proofErr w:type="spellEnd"/>
      <w:r>
        <w:t xml:space="preserve"> américains et </w:t>
      </w:r>
      <w:r w:rsidR="00290B3B">
        <w:t xml:space="preserve">à leurs puissantes compagnies de viande bovine, les éleveurs européens, déjà fragilisés par une PAC privilégiant les grandes cultures, ont toutes les raisons d’être inquiets. </w:t>
      </w:r>
    </w:p>
    <w:p w:rsidR="00290B3B" w:rsidRDefault="00290B3B" w:rsidP="00290B3B">
      <w:pPr>
        <w:spacing w:after="0"/>
      </w:pPr>
    </w:p>
    <w:p w:rsidR="00CC2366" w:rsidRPr="000B7A35" w:rsidRDefault="000B7A35" w:rsidP="00290B3B">
      <w:pPr>
        <w:spacing w:after="0"/>
        <w:rPr>
          <w:b/>
        </w:rPr>
      </w:pPr>
      <w:r w:rsidRPr="000B7A35">
        <w:rPr>
          <w:b/>
        </w:rPr>
        <w:t>Attaque des normes européennes</w:t>
      </w:r>
    </w:p>
    <w:p w:rsidR="00F62535" w:rsidRDefault="00F62535" w:rsidP="00F62535">
      <w:pPr>
        <w:spacing w:after="0"/>
        <w:rPr>
          <w:i/>
          <w:color w:val="000000"/>
        </w:rPr>
      </w:pPr>
      <w:r w:rsidRPr="000A785E">
        <w:rPr>
          <w:color w:val="000000"/>
        </w:rPr>
        <w:t>Le 4 mars 2013, l’agr</w:t>
      </w:r>
      <w:r w:rsidR="00937E8E">
        <w:rPr>
          <w:color w:val="000000"/>
        </w:rPr>
        <w:t>o</w:t>
      </w:r>
      <w:r w:rsidRPr="000A785E">
        <w:rPr>
          <w:color w:val="000000"/>
        </w:rPr>
        <w:t>business américain (</w:t>
      </w:r>
      <w:proofErr w:type="spellStart"/>
      <w:r w:rsidRPr="000A785E">
        <w:rPr>
          <w:color w:val="000000"/>
        </w:rPr>
        <w:t>Farm</w:t>
      </w:r>
      <w:proofErr w:type="spellEnd"/>
      <w:r w:rsidRPr="000A785E">
        <w:rPr>
          <w:color w:val="000000"/>
        </w:rPr>
        <w:t xml:space="preserve"> Bureau, Smithfield, </w:t>
      </w:r>
      <w:proofErr w:type="spellStart"/>
      <w:r w:rsidRPr="000A785E">
        <w:rPr>
          <w:color w:val="000000"/>
        </w:rPr>
        <w:t>Tyson</w:t>
      </w:r>
      <w:proofErr w:type="spellEnd"/>
      <w:r w:rsidRPr="000A785E">
        <w:rPr>
          <w:color w:val="000000"/>
        </w:rPr>
        <w:t xml:space="preserve"> + 61 autres organisations sectorielles agricoles) </w:t>
      </w:r>
      <w:r w:rsidR="000A785E" w:rsidRPr="000A785E">
        <w:rPr>
          <w:color w:val="000000"/>
        </w:rPr>
        <w:t>a été très clair</w:t>
      </w:r>
      <w:r w:rsidRPr="000A785E">
        <w:rPr>
          <w:color w:val="000000"/>
        </w:rPr>
        <w:t>:</w:t>
      </w:r>
      <w:r w:rsidRPr="000A785E">
        <w:rPr>
          <w:rStyle w:val="FootnoteReference"/>
          <w:color w:val="000000"/>
        </w:rPr>
        <w:footnoteReference w:id="8"/>
      </w:r>
      <w:r w:rsidRPr="000A785E">
        <w:rPr>
          <w:color w:val="000000"/>
        </w:rPr>
        <w:t xml:space="preserve"> </w:t>
      </w:r>
      <w:r w:rsidRPr="000A785E">
        <w:rPr>
          <w:i/>
          <w:color w:val="000000"/>
        </w:rPr>
        <w:t>« Les questions sanitaires et phytosanitaires doivent être spécifiquement abordées dans le cadre des négociations, pas simplement laissé</w:t>
      </w:r>
      <w:r w:rsidR="000A785E" w:rsidRPr="000A785E">
        <w:rPr>
          <w:i/>
          <w:color w:val="000000"/>
        </w:rPr>
        <w:t>es</w:t>
      </w:r>
      <w:r w:rsidRPr="000A785E">
        <w:rPr>
          <w:i/>
          <w:color w:val="000000"/>
        </w:rPr>
        <w:t xml:space="preserve"> à un futur mécanisme de consultation et les dispositions doivent être exécutoires. Il s’agit par exemple des restrictions injustifiables sur l</w:t>
      </w:r>
      <w:r w:rsidR="000A785E" w:rsidRPr="000A785E">
        <w:rPr>
          <w:i/>
          <w:color w:val="000000"/>
        </w:rPr>
        <w:t>es méthodes de</w:t>
      </w:r>
      <w:r w:rsidRPr="000A785E">
        <w:rPr>
          <w:i/>
          <w:color w:val="000000"/>
        </w:rPr>
        <w:t xml:space="preserve"> production qui affectent négativement</w:t>
      </w:r>
      <w:r w:rsidR="000A785E" w:rsidRPr="000A785E">
        <w:rPr>
          <w:i/>
          <w:color w:val="000000"/>
        </w:rPr>
        <w:t xml:space="preserve"> nos exportations de viande</w:t>
      </w:r>
      <w:r w:rsidRPr="000A785E">
        <w:rPr>
          <w:i/>
          <w:color w:val="000000"/>
        </w:rPr>
        <w:t>, volaille et fruits frais</w:t>
      </w:r>
      <w:r w:rsidR="000A785E" w:rsidRPr="000A785E">
        <w:rPr>
          <w:i/>
          <w:color w:val="000000"/>
        </w:rPr>
        <w:t> ; ainsi que</w:t>
      </w:r>
      <w:r w:rsidRPr="000A785E">
        <w:rPr>
          <w:i/>
          <w:color w:val="000000"/>
        </w:rPr>
        <w:t xml:space="preserve"> les obstacles politiques et réglementaires </w:t>
      </w:r>
      <w:r w:rsidR="000A785E" w:rsidRPr="000A785E">
        <w:rPr>
          <w:i/>
          <w:color w:val="000000"/>
        </w:rPr>
        <w:t xml:space="preserve">coûteux et en constante évolution </w:t>
      </w:r>
      <w:r w:rsidRPr="000A785E">
        <w:rPr>
          <w:i/>
          <w:color w:val="000000"/>
        </w:rPr>
        <w:t xml:space="preserve">à la biotechnologie agricole qui limitent </w:t>
      </w:r>
      <w:r w:rsidR="000A785E" w:rsidRPr="000A785E">
        <w:rPr>
          <w:i/>
          <w:color w:val="000000"/>
        </w:rPr>
        <w:t>nos exportations de maïs</w:t>
      </w:r>
      <w:r w:rsidRPr="000A785E">
        <w:rPr>
          <w:i/>
          <w:color w:val="000000"/>
        </w:rPr>
        <w:t>, soja,</w:t>
      </w:r>
      <w:r w:rsidR="000A785E" w:rsidRPr="000A785E">
        <w:rPr>
          <w:i/>
          <w:color w:val="000000"/>
        </w:rPr>
        <w:t>….. ;</w:t>
      </w:r>
      <w:r w:rsidRPr="000A785E">
        <w:rPr>
          <w:i/>
          <w:color w:val="000000"/>
        </w:rPr>
        <w:t xml:space="preserve"> </w:t>
      </w:r>
      <w:proofErr w:type="gramStart"/>
      <w:r w:rsidRPr="000A785E">
        <w:rPr>
          <w:i/>
          <w:color w:val="000000"/>
        </w:rPr>
        <w:t>et</w:t>
      </w:r>
      <w:proofErr w:type="gramEnd"/>
      <w:r w:rsidRPr="000A785E">
        <w:rPr>
          <w:i/>
          <w:color w:val="000000"/>
        </w:rPr>
        <w:t xml:space="preserve"> l'imposition d'exigences de durabilité arbitraires sur la production de matières </w:t>
      </w:r>
      <w:r w:rsidRPr="000A785E">
        <w:rPr>
          <w:i/>
          <w:color w:val="000000"/>
        </w:rPr>
        <w:lastRenderedPageBreak/>
        <w:t xml:space="preserve">premières aux États-Unis et d'autres pays pour les biocarburants utilisés dans l'UE. Ces mesures non scientifiques ont devenu l'obstacle le plus difficile </w:t>
      </w:r>
      <w:r w:rsidR="000A785E" w:rsidRPr="000A785E">
        <w:rPr>
          <w:i/>
          <w:color w:val="000000"/>
        </w:rPr>
        <w:t>aux</w:t>
      </w:r>
      <w:r w:rsidRPr="000A785E">
        <w:rPr>
          <w:i/>
          <w:color w:val="000000"/>
        </w:rPr>
        <w:t xml:space="preserve"> exportations agricoles </w:t>
      </w:r>
      <w:r w:rsidR="000A785E" w:rsidRPr="000A785E">
        <w:rPr>
          <w:i/>
          <w:color w:val="000000"/>
        </w:rPr>
        <w:t xml:space="preserve">et alimentaires </w:t>
      </w:r>
      <w:r w:rsidRPr="000A785E">
        <w:rPr>
          <w:i/>
          <w:color w:val="000000"/>
        </w:rPr>
        <w:t>américaines vers l'UE.</w:t>
      </w:r>
      <w:r w:rsidR="000A785E" w:rsidRPr="000A785E">
        <w:rPr>
          <w:i/>
          <w:color w:val="000000"/>
        </w:rPr>
        <w:t> »</w:t>
      </w:r>
    </w:p>
    <w:p w:rsidR="000A785E" w:rsidRPr="000A785E" w:rsidRDefault="000A785E" w:rsidP="00FD0EC9">
      <w:pPr>
        <w:spacing w:after="0"/>
        <w:rPr>
          <w:rFonts w:eastAsia="Times New Roman" w:cs="Times New Roman"/>
          <w:color w:val="000000"/>
          <w:lang w:eastAsia="fr-FR"/>
        </w:rPr>
      </w:pPr>
      <w:r w:rsidRPr="000A785E">
        <w:rPr>
          <w:color w:val="000000"/>
        </w:rPr>
        <w:t>Le 30 septembre 2013, l’agr</w:t>
      </w:r>
      <w:r w:rsidR="00937E8E">
        <w:rPr>
          <w:color w:val="000000"/>
        </w:rPr>
        <w:t>o</w:t>
      </w:r>
      <w:r w:rsidRPr="000A785E">
        <w:rPr>
          <w:color w:val="000000"/>
        </w:rPr>
        <w:t>business européen (</w:t>
      </w:r>
      <w:proofErr w:type="spellStart"/>
      <w:r w:rsidRPr="000A785E">
        <w:rPr>
          <w:color w:val="000000"/>
        </w:rPr>
        <w:t>Copa</w:t>
      </w:r>
      <w:proofErr w:type="spellEnd"/>
      <w:r w:rsidRPr="000A785E">
        <w:rPr>
          <w:color w:val="000000"/>
        </w:rPr>
        <w:t>-</w:t>
      </w:r>
      <w:proofErr w:type="spellStart"/>
      <w:r w:rsidRPr="000A785E">
        <w:rPr>
          <w:color w:val="000000"/>
        </w:rPr>
        <w:t>cogeca</w:t>
      </w:r>
      <w:proofErr w:type="spellEnd"/>
      <w:r w:rsidRPr="000A785E">
        <w:rPr>
          <w:color w:val="000000"/>
        </w:rPr>
        <w:t xml:space="preserve"> + Food Drink Europe) déclarait dans un communiqué conjoint</w:t>
      </w:r>
      <w:r w:rsidR="00FD0EC9">
        <w:rPr>
          <w:rStyle w:val="FootnoteReference"/>
          <w:color w:val="000000"/>
        </w:rPr>
        <w:footnoteReference w:id="9"/>
      </w:r>
      <w:r w:rsidRPr="000A785E">
        <w:rPr>
          <w:color w:val="000000"/>
        </w:rPr>
        <w:t> : « </w:t>
      </w:r>
      <w:r w:rsidRPr="000A785E">
        <w:rPr>
          <w:rFonts w:eastAsia="Times New Roman" w:cs="Times New Roman"/>
          <w:i/>
          <w:iCs/>
          <w:color w:val="000000"/>
          <w:lang w:eastAsia="fr-FR"/>
        </w:rPr>
        <w:t xml:space="preserve">Le </w:t>
      </w:r>
      <w:proofErr w:type="spellStart"/>
      <w:r w:rsidRPr="000A785E">
        <w:rPr>
          <w:rFonts w:eastAsia="Times New Roman" w:cs="Times New Roman"/>
          <w:i/>
          <w:iCs/>
          <w:color w:val="000000"/>
          <w:lang w:eastAsia="fr-FR"/>
        </w:rPr>
        <w:t>Copa</w:t>
      </w:r>
      <w:proofErr w:type="spellEnd"/>
      <w:r w:rsidRPr="000A785E">
        <w:rPr>
          <w:rFonts w:eastAsia="Times New Roman" w:cs="Times New Roman"/>
          <w:i/>
          <w:iCs/>
          <w:color w:val="000000"/>
          <w:lang w:eastAsia="fr-FR"/>
        </w:rPr>
        <w:t>-</w:t>
      </w:r>
      <w:proofErr w:type="spellStart"/>
      <w:r w:rsidRPr="000A785E">
        <w:rPr>
          <w:rFonts w:eastAsia="Times New Roman" w:cs="Times New Roman"/>
          <w:i/>
          <w:iCs/>
          <w:color w:val="000000"/>
          <w:lang w:eastAsia="fr-FR"/>
        </w:rPr>
        <w:t>Cogeca</w:t>
      </w:r>
      <w:proofErr w:type="spellEnd"/>
      <w:r w:rsidRPr="000A785E">
        <w:rPr>
          <w:rFonts w:eastAsia="Times New Roman" w:cs="Times New Roman"/>
          <w:i/>
          <w:iCs/>
          <w:color w:val="000000"/>
          <w:lang w:eastAsia="fr-FR"/>
        </w:rPr>
        <w:t xml:space="preserve"> et </w:t>
      </w:r>
      <w:proofErr w:type="spellStart"/>
      <w:r w:rsidRPr="000A785E">
        <w:rPr>
          <w:rFonts w:eastAsia="Times New Roman" w:cs="Times New Roman"/>
          <w:i/>
          <w:iCs/>
          <w:color w:val="000000"/>
          <w:lang w:eastAsia="fr-FR"/>
        </w:rPr>
        <w:t>FoodDrinkEurope</w:t>
      </w:r>
      <w:proofErr w:type="spellEnd"/>
      <w:r w:rsidRPr="000A785E">
        <w:rPr>
          <w:rFonts w:eastAsia="Times New Roman" w:cs="Times New Roman"/>
          <w:i/>
          <w:iCs/>
          <w:color w:val="000000"/>
          <w:lang w:eastAsia="fr-FR"/>
        </w:rPr>
        <w:t>, les organisations européennes de la chaîne agroalimentaire qui représentent les agriculteurs, les coopératives et les fabricants de denrées</w:t>
      </w:r>
      <w:r w:rsidR="00FD0EC9">
        <w:rPr>
          <w:rFonts w:eastAsia="Times New Roman" w:cs="Times New Roman"/>
          <w:i/>
          <w:iCs/>
          <w:color w:val="000000"/>
          <w:lang w:eastAsia="fr-FR"/>
        </w:rPr>
        <w:t xml:space="preserve"> </w:t>
      </w:r>
      <w:r w:rsidRPr="000A785E">
        <w:rPr>
          <w:rFonts w:eastAsia="Times New Roman" w:cs="Times New Roman"/>
          <w:i/>
          <w:iCs/>
          <w:color w:val="000000"/>
          <w:lang w:eastAsia="fr-FR"/>
        </w:rPr>
        <w:t>alimentaires et de boissons de l'UE, saluent le lancement de l'accord sur le Partenariat</w:t>
      </w:r>
      <w:r w:rsidR="00FD0EC9">
        <w:rPr>
          <w:rFonts w:eastAsia="Times New Roman" w:cs="Times New Roman"/>
          <w:i/>
          <w:iCs/>
          <w:color w:val="000000"/>
          <w:lang w:eastAsia="fr-FR"/>
        </w:rPr>
        <w:t xml:space="preserve"> </w:t>
      </w:r>
      <w:r w:rsidRPr="000A785E">
        <w:rPr>
          <w:rFonts w:eastAsia="Times New Roman" w:cs="Times New Roman"/>
          <w:i/>
          <w:iCs/>
          <w:color w:val="000000"/>
          <w:lang w:eastAsia="fr-FR"/>
        </w:rPr>
        <w:t>transatlantique sur le commerce et l'investissement entre l'UE et les Etats-Unis. L'accord</w:t>
      </w:r>
      <w:r w:rsidR="00FD0EC9">
        <w:rPr>
          <w:rFonts w:eastAsia="Times New Roman" w:cs="Times New Roman"/>
          <w:i/>
          <w:iCs/>
          <w:color w:val="000000"/>
          <w:lang w:eastAsia="fr-FR"/>
        </w:rPr>
        <w:t xml:space="preserve"> </w:t>
      </w:r>
      <w:r w:rsidRPr="000A785E">
        <w:rPr>
          <w:rFonts w:eastAsia="Times New Roman" w:cs="Times New Roman"/>
          <w:i/>
          <w:iCs/>
          <w:color w:val="000000"/>
          <w:lang w:eastAsia="fr-FR"/>
        </w:rPr>
        <w:t>constitue une occasion unique de supprimer des obstacles réglementaires inutiles, une des</w:t>
      </w:r>
      <w:r w:rsidR="00FD0EC9">
        <w:rPr>
          <w:rFonts w:eastAsia="Times New Roman" w:cs="Times New Roman"/>
          <w:i/>
          <w:iCs/>
          <w:color w:val="000000"/>
          <w:lang w:eastAsia="fr-FR"/>
        </w:rPr>
        <w:t xml:space="preserve"> </w:t>
      </w:r>
      <w:r w:rsidRPr="000A785E">
        <w:rPr>
          <w:rFonts w:eastAsia="Times New Roman" w:cs="Times New Roman"/>
          <w:i/>
          <w:iCs/>
          <w:color w:val="000000"/>
          <w:lang w:eastAsia="fr-FR"/>
        </w:rPr>
        <w:t>grandes priorités de l'industrie agro-alimentaire européenne.</w:t>
      </w:r>
      <w:r w:rsidR="00FD0EC9">
        <w:rPr>
          <w:rFonts w:eastAsia="Times New Roman" w:cs="Times New Roman"/>
          <w:i/>
          <w:iCs/>
          <w:color w:val="000000"/>
          <w:lang w:eastAsia="fr-FR"/>
        </w:rPr>
        <w:t> »</w:t>
      </w:r>
    </w:p>
    <w:p w:rsidR="00F62535" w:rsidRDefault="00F62535" w:rsidP="00290B3B">
      <w:pPr>
        <w:spacing w:after="0"/>
        <w:rPr>
          <w:color w:val="000000"/>
        </w:rPr>
      </w:pPr>
    </w:p>
    <w:p w:rsidR="00FD0EC9" w:rsidRDefault="00FD0EC9" w:rsidP="00290B3B">
      <w:pPr>
        <w:spacing w:after="0"/>
        <w:rPr>
          <w:color w:val="000000"/>
        </w:rPr>
      </w:pPr>
      <w:r>
        <w:rPr>
          <w:color w:val="000000"/>
        </w:rPr>
        <w:t>La bataille des normes est bien engagée, mais comme on le voit, elle se situe p</w:t>
      </w:r>
      <w:r w:rsidR="00937E8E">
        <w:rPr>
          <w:color w:val="000000"/>
        </w:rPr>
        <w:t>eut-être moins</w:t>
      </w:r>
      <w:r>
        <w:rPr>
          <w:color w:val="000000"/>
        </w:rPr>
        <w:t xml:space="preserve"> entre</w:t>
      </w:r>
      <w:r w:rsidR="00937E8E">
        <w:rPr>
          <w:color w:val="000000"/>
        </w:rPr>
        <w:t xml:space="preserve"> les deux côtés de l’Atlantique qu’entre</w:t>
      </w:r>
      <w:r>
        <w:rPr>
          <w:color w:val="000000"/>
        </w:rPr>
        <w:t xml:space="preserve"> deux visions différentes de l’agriculture, qui existent aussi en Europe. Ce n’est pas un débat  technique, c’est un choix de modèle, de valeurs. </w:t>
      </w:r>
    </w:p>
    <w:p w:rsidR="00B628F0" w:rsidRPr="000A785E" w:rsidRDefault="00B628F0" w:rsidP="00290B3B">
      <w:pPr>
        <w:spacing w:after="0"/>
        <w:rPr>
          <w:color w:val="000000"/>
        </w:rPr>
      </w:pPr>
      <w:r>
        <w:rPr>
          <w:color w:val="000000"/>
        </w:rPr>
        <w:t>Alors que 2014 est l’année internationale de l’agriculture familiale</w:t>
      </w:r>
      <w:r>
        <w:rPr>
          <w:rStyle w:val="FootnoteReference"/>
          <w:color w:val="000000"/>
        </w:rPr>
        <w:footnoteReference w:id="10"/>
      </w:r>
      <w:r>
        <w:rPr>
          <w:color w:val="000000"/>
        </w:rPr>
        <w:t xml:space="preserve">, </w:t>
      </w:r>
      <w:r w:rsidR="00BF5780">
        <w:rPr>
          <w:color w:val="000000"/>
        </w:rPr>
        <w:t xml:space="preserve">que les coûts externes et les dangers de </w:t>
      </w:r>
      <w:r>
        <w:rPr>
          <w:color w:val="000000"/>
        </w:rPr>
        <w:t xml:space="preserve">l’industrialisation </w:t>
      </w:r>
      <w:r w:rsidR="003E5194">
        <w:rPr>
          <w:color w:val="000000"/>
        </w:rPr>
        <w:t xml:space="preserve">et de la massification </w:t>
      </w:r>
      <w:r>
        <w:rPr>
          <w:color w:val="000000"/>
        </w:rPr>
        <w:t xml:space="preserve">de la production agricole et alimentaire </w:t>
      </w:r>
      <w:r w:rsidR="00BF5780">
        <w:rPr>
          <w:color w:val="000000"/>
        </w:rPr>
        <w:t>ne cessent d’alimenter les médias, l’UE s’engage dans une négociation qui ne peut que nous éloigner davantage d’une agriculture  paysanne durable.</w:t>
      </w:r>
    </w:p>
    <w:p w:rsidR="000A785E" w:rsidRDefault="000A785E" w:rsidP="00290B3B">
      <w:pPr>
        <w:spacing w:after="0"/>
        <w:rPr>
          <w:rFonts w:ascii="Helvetica" w:hAnsi="Helvetica"/>
          <w:color w:val="000000"/>
          <w:sz w:val="20"/>
          <w:szCs w:val="20"/>
        </w:rPr>
      </w:pPr>
    </w:p>
    <w:p w:rsidR="007974B6" w:rsidRPr="00430B3B" w:rsidRDefault="00430B3B">
      <w:pPr>
        <w:rPr>
          <w:lang w:val="fr-BE"/>
        </w:rPr>
      </w:pPr>
      <w:r>
        <w:rPr>
          <w:lang w:val="fr-BE"/>
        </w:rPr>
        <w:t xml:space="preserve">Les </w:t>
      </w:r>
      <w:r w:rsidR="007404E6">
        <w:rPr>
          <w:lang w:val="fr-BE"/>
        </w:rPr>
        <w:t>populations  de l’UE</w:t>
      </w:r>
      <w:r>
        <w:rPr>
          <w:lang w:val="fr-BE"/>
        </w:rPr>
        <w:t xml:space="preserve"> </w:t>
      </w:r>
      <w:r w:rsidR="007404E6">
        <w:rPr>
          <w:lang w:val="fr-BE"/>
        </w:rPr>
        <w:t xml:space="preserve">et leurs gouvernements </w:t>
      </w:r>
      <w:r w:rsidRPr="00430B3B">
        <w:rPr>
          <w:lang w:val="fr-BE"/>
        </w:rPr>
        <w:t xml:space="preserve"> sauront-ils résister</w:t>
      </w:r>
      <w:r>
        <w:rPr>
          <w:lang w:val="fr-BE"/>
        </w:rPr>
        <w:t xml:space="preserve">, comme l’on fait les latino-américains en refusant la Zone de libre échange des Amériques, ou comme le font les Africains en résistant </w:t>
      </w:r>
      <w:r w:rsidR="007404E6">
        <w:rPr>
          <w:lang w:val="fr-BE"/>
        </w:rPr>
        <w:t xml:space="preserve">depuis plusieurs années </w:t>
      </w:r>
      <w:r>
        <w:rPr>
          <w:lang w:val="fr-BE"/>
        </w:rPr>
        <w:t xml:space="preserve"> à la pression européenne pour un accord dit de « partenariat économique » (APE) ?</w:t>
      </w:r>
    </w:p>
    <w:p w:rsidR="007404E6" w:rsidRDefault="007404E6" w:rsidP="007404E6">
      <w:pPr>
        <w:rPr>
          <w:lang w:val="fr-BE"/>
        </w:rPr>
      </w:pPr>
      <w:r w:rsidRPr="00A9338D">
        <w:rPr>
          <w:lang w:val="fr-BE"/>
        </w:rPr>
        <w:t xml:space="preserve">Rappelons qu’en 1995-97, une fuite dans les media concernant la négociation d’un accord multilatéral sur l’investissement (AMI) a soulevé une vague importante de protestations, qui a permis à des gouvernements de dire non, faisant échouer la négociation. Ce fut une belle mobilisation, notamment européenne, et elle a gagné ! </w:t>
      </w:r>
    </w:p>
    <w:p w:rsidR="006F6D21" w:rsidRPr="00A9338D" w:rsidRDefault="006F6D21" w:rsidP="007404E6">
      <w:pPr>
        <w:rPr>
          <w:lang w:val="fr-BE"/>
        </w:rPr>
      </w:pPr>
      <w:r>
        <w:rPr>
          <w:lang w:val="fr-BE"/>
        </w:rPr>
        <w:t>L’enjeu économique, social, environnemental, culturel, et démocratique a été clairement identifié par de nombreuses associations européennes et américaines de la « société civile »</w:t>
      </w:r>
      <w:r w:rsidR="006A70E0">
        <w:rPr>
          <w:rStyle w:val="FootnoteReference"/>
          <w:lang w:val="fr-BE"/>
        </w:rPr>
        <w:footnoteReference w:id="11"/>
      </w:r>
      <w:r>
        <w:rPr>
          <w:lang w:val="fr-BE"/>
        </w:rPr>
        <w:t>, qui se concertent  face à cette négociation transatlantique bien peu transparente. Voilà un thème majeur de débat et de mobilisation pour faciliter le choix des électeurs européens le 25 mai prochain.</w:t>
      </w:r>
    </w:p>
    <w:p w:rsidR="00C67ED0" w:rsidRDefault="00BF5780">
      <w:pPr>
        <w:rPr>
          <w:lang w:val="fr-BE"/>
        </w:rPr>
      </w:pPr>
      <w:r>
        <w:rPr>
          <w:lang w:val="fr-BE"/>
        </w:rPr>
        <w:t xml:space="preserve">Gérard </w:t>
      </w:r>
      <w:proofErr w:type="spellStart"/>
      <w:r>
        <w:rPr>
          <w:lang w:val="fr-BE"/>
        </w:rPr>
        <w:t>Choplin</w:t>
      </w:r>
      <w:proofErr w:type="spellEnd"/>
      <w:r>
        <w:rPr>
          <w:lang w:val="fr-BE"/>
        </w:rPr>
        <w:t xml:space="preserve">  4.2.2013</w:t>
      </w:r>
    </w:p>
    <w:p w:rsidR="006A70E0" w:rsidRDefault="006A70E0">
      <w:pPr>
        <w:rPr>
          <w:lang w:val="fr-BE"/>
        </w:rPr>
      </w:pPr>
    </w:p>
    <w:p w:rsidR="00954E37" w:rsidRDefault="007404E6" w:rsidP="006A70E0">
      <w:pPr>
        <w:jc w:val="center"/>
        <w:rPr>
          <w:lang w:val="fr-BE"/>
        </w:rPr>
      </w:pPr>
      <w:r>
        <w:rPr>
          <w:noProof/>
          <w:lang w:eastAsia="fr-FR"/>
        </w:rPr>
        <w:lastRenderedPageBreak/>
        <w:drawing>
          <wp:inline distT="0" distB="0" distL="0" distR="0">
            <wp:extent cx="4028559" cy="2867025"/>
            <wp:effectExtent l="19050" t="0" r="0" b="0"/>
            <wp:docPr id="1" name="Picture 1" descr="http://corporateeurope.org/sites/default/files/brave-new-transatlantic-partnersh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rporateeurope.org/sites/default/files/brave-new-transatlantic-partnership.jpg"/>
                    <pic:cNvPicPr>
                      <a:picLocks noChangeAspect="1" noChangeArrowheads="1"/>
                    </pic:cNvPicPr>
                  </pic:nvPicPr>
                  <pic:blipFill>
                    <a:blip r:embed="rId10" cstate="print"/>
                    <a:srcRect/>
                    <a:stretch>
                      <a:fillRect/>
                    </a:stretch>
                  </pic:blipFill>
                  <pic:spPr bwMode="auto">
                    <a:xfrm>
                      <a:off x="0" y="0"/>
                      <a:ext cx="4036135" cy="2872417"/>
                    </a:xfrm>
                    <a:prstGeom prst="rect">
                      <a:avLst/>
                    </a:prstGeom>
                    <a:noFill/>
                    <a:ln w="9525">
                      <a:noFill/>
                      <a:miter lim="800000"/>
                      <a:headEnd/>
                      <a:tailEnd/>
                    </a:ln>
                  </pic:spPr>
                </pic:pic>
              </a:graphicData>
            </a:graphic>
          </wp:inline>
        </w:drawing>
      </w:r>
    </w:p>
    <w:p w:rsidR="006A70E0" w:rsidRDefault="006A70E0" w:rsidP="006A70E0">
      <w:pPr>
        <w:jc w:val="center"/>
        <w:rPr>
          <w:lang w:val="fr-BE"/>
        </w:rPr>
      </w:pPr>
      <w:r w:rsidRPr="006A70E0">
        <w:rPr>
          <w:sz w:val="20"/>
          <w:szCs w:val="20"/>
          <w:lang w:val="fr-BE"/>
        </w:rPr>
        <w:t xml:space="preserve">Dessin en couverture du document publié en octobre 2013 par le réseau S2B «  a brave new </w:t>
      </w:r>
      <w:proofErr w:type="spellStart"/>
      <w:r w:rsidRPr="006A70E0">
        <w:rPr>
          <w:sz w:val="20"/>
          <w:szCs w:val="20"/>
          <w:lang w:val="fr-BE"/>
        </w:rPr>
        <w:t>transatlantic</w:t>
      </w:r>
      <w:proofErr w:type="spellEnd"/>
      <w:r w:rsidRPr="006A70E0">
        <w:rPr>
          <w:sz w:val="20"/>
          <w:szCs w:val="20"/>
          <w:lang w:val="fr-BE"/>
        </w:rPr>
        <w:t xml:space="preserve"> </w:t>
      </w:r>
      <w:proofErr w:type="spellStart"/>
      <w:r w:rsidRPr="006A70E0">
        <w:rPr>
          <w:sz w:val="20"/>
          <w:szCs w:val="20"/>
          <w:lang w:val="fr-BE"/>
        </w:rPr>
        <w:t>Partnership</w:t>
      </w:r>
      <w:proofErr w:type="spellEnd"/>
      <w:r w:rsidRPr="006A70E0">
        <w:rPr>
          <w:sz w:val="20"/>
          <w:szCs w:val="20"/>
          <w:lang w:val="fr-BE"/>
        </w:rPr>
        <w:t> »</w:t>
      </w:r>
      <w:r w:rsidRPr="006A70E0">
        <w:t xml:space="preserve"> </w:t>
      </w:r>
      <w:hyperlink r:id="rId11" w:history="1">
        <w:r w:rsidRPr="006A70E0">
          <w:rPr>
            <w:rStyle w:val="Hyperlink"/>
            <w:sz w:val="16"/>
            <w:szCs w:val="16"/>
            <w:lang w:val="fr-BE"/>
          </w:rPr>
          <w:t>http://corporateeurope.org/trade/2013/10/brave-new-transatlantic-partnership-social-environmental-consequences-proposed-eu-us</w:t>
        </w:r>
      </w:hyperlink>
    </w:p>
    <w:sectPr w:rsidR="006A70E0" w:rsidSect="006A70E0">
      <w:pgSz w:w="11906" w:h="16838" w:code="9"/>
      <w:pgMar w:top="567" w:right="964" w:bottom="567" w:left="964" w:header="0" w:footer="1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53D9" w:rsidRDefault="00D053D9" w:rsidP="00954E37">
      <w:pPr>
        <w:spacing w:after="0" w:line="240" w:lineRule="auto"/>
      </w:pPr>
      <w:r>
        <w:separator/>
      </w:r>
    </w:p>
  </w:endnote>
  <w:endnote w:type="continuationSeparator" w:id="0">
    <w:p w:rsidR="00D053D9" w:rsidRDefault="00D053D9" w:rsidP="00954E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53D9" w:rsidRDefault="00D053D9" w:rsidP="00954E37">
      <w:pPr>
        <w:spacing w:after="0" w:line="240" w:lineRule="auto"/>
      </w:pPr>
      <w:r>
        <w:separator/>
      </w:r>
    </w:p>
  </w:footnote>
  <w:footnote w:type="continuationSeparator" w:id="0">
    <w:p w:rsidR="00D053D9" w:rsidRDefault="00D053D9" w:rsidP="00954E37">
      <w:pPr>
        <w:spacing w:after="0" w:line="240" w:lineRule="auto"/>
      </w:pPr>
      <w:r>
        <w:continuationSeparator/>
      </w:r>
    </w:p>
  </w:footnote>
  <w:footnote w:id="1">
    <w:p w:rsidR="00197DFC" w:rsidRPr="00954E37" w:rsidRDefault="00197DFC">
      <w:pPr>
        <w:pStyle w:val="FootnoteText"/>
        <w:rPr>
          <w:lang w:val="fr-BE"/>
        </w:rPr>
      </w:pPr>
      <w:r>
        <w:rPr>
          <w:rStyle w:val="FootnoteReference"/>
        </w:rPr>
        <w:footnoteRef/>
      </w:r>
      <w:r>
        <w:t xml:space="preserve"> </w:t>
      </w:r>
      <w:r w:rsidRPr="006D5BC2">
        <w:rPr>
          <w:sz w:val="16"/>
          <w:szCs w:val="16"/>
          <w:lang w:val="fr-BE"/>
        </w:rPr>
        <w:t>Voir mon article précédent</w:t>
      </w:r>
      <w:r>
        <w:rPr>
          <w:lang w:val="fr-BE"/>
        </w:rPr>
        <w:t xml:space="preserve"> </w:t>
      </w:r>
      <w:hyperlink r:id="rId1" w:history="1">
        <w:r w:rsidRPr="00954E37">
          <w:rPr>
            <w:rStyle w:val="Hyperlink"/>
            <w:sz w:val="16"/>
            <w:szCs w:val="16"/>
            <w:lang w:val="fr-BE"/>
          </w:rPr>
          <w:t>http://gerardchoplin.wordpress.com/2013/12/06/libre-echange-ou-protectionnisme-protection-ou-libre-echangisme/</w:t>
        </w:r>
      </w:hyperlink>
    </w:p>
  </w:footnote>
  <w:footnote w:id="2">
    <w:p w:rsidR="00BE1591" w:rsidRPr="00BE1591" w:rsidRDefault="00BE1591">
      <w:pPr>
        <w:pStyle w:val="FootnoteText"/>
        <w:rPr>
          <w:lang w:val="fr-BE"/>
        </w:rPr>
      </w:pPr>
      <w:r>
        <w:rPr>
          <w:rStyle w:val="FootnoteReference"/>
        </w:rPr>
        <w:footnoteRef/>
      </w:r>
      <w:r>
        <w:t xml:space="preserve"> </w:t>
      </w:r>
      <w:hyperlink r:id="rId2" w:history="1">
        <w:r w:rsidRPr="00BE1591">
          <w:rPr>
            <w:rStyle w:val="Hyperlink"/>
            <w:sz w:val="16"/>
            <w:szCs w:val="16"/>
          </w:rPr>
          <w:t>http://corporateeurope.org/trade/2013/09/european-commission-preparing-eu-us-trade-talks-119-meetings-industry-lobbyists</w:t>
        </w:r>
      </w:hyperlink>
    </w:p>
  </w:footnote>
  <w:footnote w:id="3">
    <w:p w:rsidR="006D5BC2" w:rsidRPr="006D5BC2" w:rsidRDefault="006D5BC2">
      <w:pPr>
        <w:pStyle w:val="FootnoteText"/>
        <w:rPr>
          <w:lang w:val="fr-BE"/>
        </w:rPr>
      </w:pPr>
      <w:r>
        <w:rPr>
          <w:rStyle w:val="FootnoteReference"/>
        </w:rPr>
        <w:footnoteRef/>
      </w:r>
      <w:r>
        <w:t xml:space="preserve"> </w:t>
      </w:r>
      <w:r w:rsidRPr="006D5BC2">
        <w:rPr>
          <w:sz w:val="16"/>
          <w:szCs w:val="16"/>
          <w:lang w:val="fr-BE"/>
        </w:rPr>
        <w:t xml:space="preserve">Lori Wallach, « le traité transatlantique, un typhon qui menace les européens », Le Monde Diplomatique, </w:t>
      </w:r>
      <w:proofErr w:type="spellStart"/>
      <w:r w:rsidRPr="006D5BC2">
        <w:rPr>
          <w:sz w:val="16"/>
          <w:szCs w:val="16"/>
          <w:lang w:val="fr-BE"/>
        </w:rPr>
        <w:t>nov</w:t>
      </w:r>
      <w:proofErr w:type="spellEnd"/>
      <w:r w:rsidRPr="006D5BC2">
        <w:rPr>
          <w:sz w:val="16"/>
          <w:szCs w:val="16"/>
          <w:lang w:val="fr-BE"/>
        </w:rPr>
        <w:t xml:space="preserve"> 2013</w:t>
      </w:r>
      <w:r w:rsidRPr="006D5BC2">
        <w:rPr>
          <w:sz w:val="16"/>
          <w:szCs w:val="16"/>
        </w:rPr>
        <w:t xml:space="preserve"> </w:t>
      </w:r>
      <w:hyperlink r:id="rId3" w:history="1">
        <w:r w:rsidRPr="006D5BC2">
          <w:rPr>
            <w:rStyle w:val="Hyperlink"/>
            <w:sz w:val="16"/>
            <w:szCs w:val="16"/>
            <w:lang w:val="fr-BE"/>
          </w:rPr>
          <w:t>http://www.monde-diplomatique.fr/2013/11/WALLACH/49803</w:t>
        </w:r>
      </w:hyperlink>
    </w:p>
  </w:footnote>
  <w:footnote w:id="4">
    <w:p w:rsidR="00937E8E" w:rsidRPr="00937E8E" w:rsidRDefault="00937E8E">
      <w:pPr>
        <w:pStyle w:val="FootnoteText"/>
        <w:rPr>
          <w:sz w:val="16"/>
          <w:szCs w:val="16"/>
          <w:lang w:val="fr-BE"/>
        </w:rPr>
      </w:pPr>
      <w:r w:rsidRPr="00937E8E">
        <w:rPr>
          <w:rStyle w:val="FootnoteReference"/>
          <w:sz w:val="16"/>
          <w:szCs w:val="16"/>
        </w:rPr>
        <w:footnoteRef/>
      </w:r>
      <w:r w:rsidRPr="00937E8E">
        <w:rPr>
          <w:sz w:val="16"/>
          <w:szCs w:val="16"/>
          <w:lang w:val="fr-BE"/>
        </w:rPr>
        <w:t xml:space="preserve"> </w:t>
      </w:r>
      <w:hyperlink r:id="rId4" w:history="1">
        <w:r w:rsidRPr="00937E8E">
          <w:rPr>
            <w:rStyle w:val="Hyperlink"/>
            <w:sz w:val="16"/>
            <w:szCs w:val="16"/>
            <w:lang w:val="fr-BE"/>
          </w:rPr>
          <w:t>http://www.jennar.fr/?p=3143</w:t>
        </w:r>
      </w:hyperlink>
    </w:p>
  </w:footnote>
  <w:footnote w:id="5">
    <w:p w:rsidR="007404E6" w:rsidRPr="0043321B" w:rsidRDefault="007404E6">
      <w:pPr>
        <w:pStyle w:val="FootnoteText"/>
      </w:pPr>
      <w:r>
        <w:rPr>
          <w:rStyle w:val="FootnoteReference"/>
        </w:rPr>
        <w:footnoteRef/>
      </w:r>
      <w:r w:rsidRPr="0043321B">
        <w:t xml:space="preserve"> </w:t>
      </w:r>
      <w:r w:rsidRPr="0043321B">
        <w:rPr>
          <w:sz w:val="16"/>
          <w:szCs w:val="16"/>
        </w:rPr>
        <w:t>Lori Wallach, op.cit.</w:t>
      </w:r>
    </w:p>
  </w:footnote>
  <w:footnote w:id="6">
    <w:p w:rsidR="004073F0" w:rsidRPr="004073F0" w:rsidRDefault="004073F0" w:rsidP="004073F0">
      <w:pPr>
        <w:pStyle w:val="FootnoteText"/>
        <w:rPr>
          <w:sz w:val="16"/>
          <w:szCs w:val="16"/>
        </w:rPr>
      </w:pPr>
      <w:r w:rsidRPr="00EE7ABC">
        <w:rPr>
          <w:rStyle w:val="FootnoteReference"/>
          <w:sz w:val="16"/>
          <w:szCs w:val="16"/>
        </w:rPr>
        <w:footnoteRef/>
      </w:r>
      <w:r w:rsidRPr="00EE7ABC">
        <w:rPr>
          <w:sz w:val="16"/>
          <w:szCs w:val="16"/>
        </w:rPr>
        <w:t xml:space="preserve"> </w:t>
      </w:r>
      <w:r>
        <w:rPr>
          <w:sz w:val="16"/>
          <w:szCs w:val="16"/>
        </w:rPr>
        <w:t>Tableau ci-dessous d</w:t>
      </w:r>
      <w:r w:rsidRPr="004073F0">
        <w:rPr>
          <w:sz w:val="16"/>
          <w:szCs w:val="16"/>
        </w:rPr>
        <w:t xml:space="preserve">’après </w:t>
      </w:r>
      <w:proofErr w:type="spellStart"/>
      <w:r w:rsidRPr="004073F0">
        <w:rPr>
          <w:sz w:val="16"/>
          <w:szCs w:val="16"/>
        </w:rPr>
        <w:t>J.Berthelot</w:t>
      </w:r>
      <w:proofErr w:type="spellEnd"/>
      <w:r w:rsidRPr="004073F0">
        <w:rPr>
          <w:sz w:val="16"/>
          <w:szCs w:val="16"/>
        </w:rPr>
        <w:t xml:space="preserve"> </w:t>
      </w:r>
      <w:hyperlink r:id="rId5" w:history="1">
        <w:r w:rsidRPr="004073F0">
          <w:rPr>
            <w:rStyle w:val="Hyperlink"/>
            <w:sz w:val="16"/>
            <w:szCs w:val="16"/>
          </w:rPr>
          <w:t>http://www.solidarite.asso.fr/IMG/pdf/La_folie_d_integrer_l_agriculture_dans_le_PTCI_27-08-13.pdf</w:t>
        </w:r>
      </w:hyperlink>
    </w:p>
  </w:footnote>
  <w:footnote w:id="7">
    <w:p w:rsidR="00570F82" w:rsidRPr="00937E8E" w:rsidRDefault="00570F82" w:rsidP="00570F82">
      <w:pPr>
        <w:pStyle w:val="FootnoteText"/>
        <w:rPr>
          <w:sz w:val="16"/>
          <w:szCs w:val="16"/>
        </w:rPr>
      </w:pPr>
      <w:r w:rsidRPr="00937E8E">
        <w:rPr>
          <w:rStyle w:val="FootnoteReference"/>
          <w:sz w:val="16"/>
          <w:szCs w:val="16"/>
        </w:rPr>
        <w:footnoteRef/>
      </w:r>
      <w:r w:rsidRPr="00937E8E">
        <w:rPr>
          <w:sz w:val="16"/>
          <w:szCs w:val="16"/>
        </w:rPr>
        <w:t xml:space="preserve"> Voir note 5</w:t>
      </w:r>
    </w:p>
  </w:footnote>
  <w:footnote w:id="8">
    <w:p w:rsidR="00F62535" w:rsidRPr="00F62535" w:rsidRDefault="00F62535">
      <w:pPr>
        <w:pStyle w:val="FootnoteText"/>
      </w:pPr>
      <w:r>
        <w:rPr>
          <w:rStyle w:val="FootnoteReference"/>
        </w:rPr>
        <w:footnoteRef/>
      </w:r>
      <w:r>
        <w:t xml:space="preserve"> </w:t>
      </w:r>
      <w:hyperlink r:id="rId6" w:history="1">
        <w:r w:rsidRPr="00F62535">
          <w:rPr>
            <w:rStyle w:val="Hyperlink"/>
            <w:sz w:val="16"/>
            <w:szCs w:val="16"/>
          </w:rPr>
          <w:t>http://www.nppc.org/wp-content/uploads/2013-03-04-Ag-Coalition-US-EU-FTA.pdf</w:t>
        </w:r>
      </w:hyperlink>
    </w:p>
  </w:footnote>
  <w:footnote w:id="9">
    <w:p w:rsidR="00FD0EC9" w:rsidRPr="00937E8E" w:rsidRDefault="00FD0EC9">
      <w:pPr>
        <w:pStyle w:val="FootnoteText"/>
        <w:rPr>
          <w:sz w:val="16"/>
          <w:szCs w:val="16"/>
          <w:lang w:val="de-DE"/>
        </w:rPr>
      </w:pPr>
      <w:r w:rsidRPr="00937E8E">
        <w:rPr>
          <w:rStyle w:val="FootnoteReference"/>
          <w:sz w:val="16"/>
          <w:szCs w:val="16"/>
        </w:rPr>
        <w:footnoteRef/>
      </w:r>
      <w:r w:rsidRPr="00937E8E">
        <w:rPr>
          <w:sz w:val="16"/>
          <w:szCs w:val="16"/>
          <w:lang w:val="de-DE"/>
        </w:rPr>
        <w:t xml:space="preserve"> </w:t>
      </w:r>
      <w:r w:rsidR="004B79F8">
        <w:fldChar w:fldCharType="begin"/>
      </w:r>
      <w:r w:rsidR="004B79F8" w:rsidRPr="0043321B">
        <w:rPr>
          <w:lang w:val="de-DE"/>
        </w:rPr>
        <w:instrText>HYPERLINK "http://www.copa-cogeca.be/InternationalAspects.aspx"</w:instrText>
      </w:r>
      <w:r w:rsidR="004B79F8">
        <w:fldChar w:fldCharType="separate"/>
      </w:r>
      <w:r w:rsidRPr="00937E8E">
        <w:rPr>
          <w:rStyle w:val="Hyperlink"/>
          <w:sz w:val="16"/>
          <w:szCs w:val="16"/>
          <w:lang w:val="de-DE"/>
        </w:rPr>
        <w:t>http://www.copa-cogeca.be/InternationalAspects.aspx</w:t>
      </w:r>
      <w:r w:rsidR="004B79F8">
        <w:fldChar w:fldCharType="end"/>
      </w:r>
      <w:r w:rsidRPr="00937E8E">
        <w:rPr>
          <w:sz w:val="16"/>
          <w:szCs w:val="16"/>
          <w:lang w:val="de-DE"/>
        </w:rPr>
        <w:t xml:space="preserve"> </w:t>
      </w:r>
      <w:r w:rsidRPr="00937E8E">
        <w:rPr>
          <w:rFonts w:ascii="Arial" w:hAnsi="Arial" w:cs="Arial"/>
          <w:sz w:val="16"/>
          <w:szCs w:val="16"/>
          <w:shd w:val="clear" w:color="auto" w:fill="AAAAAA"/>
          <w:lang w:val="de-DE"/>
        </w:rPr>
        <w:t>BILAT(13)6029FR5.pdf</w:t>
      </w:r>
    </w:p>
  </w:footnote>
  <w:footnote w:id="10">
    <w:p w:rsidR="00B628F0" w:rsidRPr="00B628F0" w:rsidRDefault="00B628F0">
      <w:pPr>
        <w:pStyle w:val="FootnoteText"/>
      </w:pPr>
      <w:r>
        <w:rPr>
          <w:rStyle w:val="FootnoteReference"/>
        </w:rPr>
        <w:footnoteRef/>
      </w:r>
      <w:r w:rsidRPr="00B628F0">
        <w:t xml:space="preserve"> </w:t>
      </w:r>
      <w:r w:rsidRPr="00B628F0">
        <w:rPr>
          <w:sz w:val="16"/>
          <w:szCs w:val="16"/>
        </w:rPr>
        <w:t>Voir article précédent sur ce blog</w:t>
      </w:r>
    </w:p>
  </w:footnote>
  <w:footnote w:id="11">
    <w:p w:rsidR="006A70E0" w:rsidRDefault="006A70E0">
      <w:pPr>
        <w:pStyle w:val="FootnoteText"/>
        <w:rPr>
          <w:sz w:val="16"/>
          <w:szCs w:val="16"/>
        </w:rPr>
      </w:pPr>
      <w:r>
        <w:rPr>
          <w:rStyle w:val="FootnoteReference"/>
        </w:rPr>
        <w:footnoteRef/>
      </w:r>
      <w:r>
        <w:t xml:space="preserve"> </w:t>
      </w:r>
      <w:r w:rsidRPr="006A70E0">
        <w:rPr>
          <w:sz w:val="16"/>
          <w:szCs w:val="16"/>
        </w:rPr>
        <w:t>Notamment autour du réseau S2B – Seattle to Brussels network</w:t>
      </w:r>
      <w:r>
        <w:rPr>
          <w:sz w:val="16"/>
          <w:szCs w:val="16"/>
        </w:rPr>
        <w:t xml:space="preserve"> </w:t>
      </w:r>
      <w:hyperlink r:id="rId7" w:history="1">
        <w:r w:rsidRPr="00E35565">
          <w:rPr>
            <w:rStyle w:val="Hyperlink"/>
            <w:sz w:val="16"/>
            <w:szCs w:val="16"/>
          </w:rPr>
          <w:t>http://www.s2bnetwork.org/</w:t>
        </w:r>
      </w:hyperlink>
    </w:p>
    <w:p w:rsidR="006A70E0" w:rsidRPr="006A70E0" w:rsidRDefault="006A70E0">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BE6F60"/>
    <w:multiLevelType w:val="hybridMultilevel"/>
    <w:tmpl w:val="103055FC"/>
    <w:lvl w:ilvl="0" w:tplc="1012EEE6">
      <w:start w:val="1"/>
      <w:numFmt w:val="bullet"/>
      <w:lvlText w:val=""/>
      <w:lvlJc w:val="left"/>
      <w:pPr>
        <w:tabs>
          <w:tab w:val="num" w:pos="720"/>
        </w:tabs>
        <w:ind w:left="720" w:hanging="360"/>
      </w:pPr>
      <w:rPr>
        <w:rFonts w:ascii="Wingdings 2" w:hAnsi="Wingdings 2" w:hint="default"/>
      </w:rPr>
    </w:lvl>
    <w:lvl w:ilvl="1" w:tplc="7CBEFA20" w:tentative="1">
      <w:start w:val="1"/>
      <w:numFmt w:val="bullet"/>
      <w:lvlText w:val=""/>
      <w:lvlJc w:val="left"/>
      <w:pPr>
        <w:tabs>
          <w:tab w:val="num" w:pos="1440"/>
        </w:tabs>
        <w:ind w:left="1440" w:hanging="360"/>
      </w:pPr>
      <w:rPr>
        <w:rFonts w:ascii="Wingdings 2" w:hAnsi="Wingdings 2" w:hint="default"/>
      </w:rPr>
    </w:lvl>
    <w:lvl w:ilvl="2" w:tplc="4A54D666" w:tentative="1">
      <w:start w:val="1"/>
      <w:numFmt w:val="bullet"/>
      <w:lvlText w:val=""/>
      <w:lvlJc w:val="left"/>
      <w:pPr>
        <w:tabs>
          <w:tab w:val="num" w:pos="2160"/>
        </w:tabs>
        <w:ind w:left="2160" w:hanging="360"/>
      </w:pPr>
      <w:rPr>
        <w:rFonts w:ascii="Wingdings 2" w:hAnsi="Wingdings 2" w:hint="default"/>
      </w:rPr>
    </w:lvl>
    <w:lvl w:ilvl="3" w:tplc="8A88E7D8" w:tentative="1">
      <w:start w:val="1"/>
      <w:numFmt w:val="bullet"/>
      <w:lvlText w:val=""/>
      <w:lvlJc w:val="left"/>
      <w:pPr>
        <w:tabs>
          <w:tab w:val="num" w:pos="2880"/>
        </w:tabs>
        <w:ind w:left="2880" w:hanging="360"/>
      </w:pPr>
      <w:rPr>
        <w:rFonts w:ascii="Wingdings 2" w:hAnsi="Wingdings 2" w:hint="default"/>
      </w:rPr>
    </w:lvl>
    <w:lvl w:ilvl="4" w:tplc="EDEAC02E" w:tentative="1">
      <w:start w:val="1"/>
      <w:numFmt w:val="bullet"/>
      <w:lvlText w:val=""/>
      <w:lvlJc w:val="left"/>
      <w:pPr>
        <w:tabs>
          <w:tab w:val="num" w:pos="3600"/>
        </w:tabs>
        <w:ind w:left="3600" w:hanging="360"/>
      </w:pPr>
      <w:rPr>
        <w:rFonts w:ascii="Wingdings 2" w:hAnsi="Wingdings 2" w:hint="default"/>
      </w:rPr>
    </w:lvl>
    <w:lvl w:ilvl="5" w:tplc="30B0355E" w:tentative="1">
      <w:start w:val="1"/>
      <w:numFmt w:val="bullet"/>
      <w:lvlText w:val=""/>
      <w:lvlJc w:val="left"/>
      <w:pPr>
        <w:tabs>
          <w:tab w:val="num" w:pos="4320"/>
        </w:tabs>
        <w:ind w:left="4320" w:hanging="360"/>
      </w:pPr>
      <w:rPr>
        <w:rFonts w:ascii="Wingdings 2" w:hAnsi="Wingdings 2" w:hint="default"/>
      </w:rPr>
    </w:lvl>
    <w:lvl w:ilvl="6" w:tplc="AC84E9A8" w:tentative="1">
      <w:start w:val="1"/>
      <w:numFmt w:val="bullet"/>
      <w:lvlText w:val=""/>
      <w:lvlJc w:val="left"/>
      <w:pPr>
        <w:tabs>
          <w:tab w:val="num" w:pos="5040"/>
        </w:tabs>
        <w:ind w:left="5040" w:hanging="360"/>
      </w:pPr>
      <w:rPr>
        <w:rFonts w:ascii="Wingdings 2" w:hAnsi="Wingdings 2" w:hint="default"/>
      </w:rPr>
    </w:lvl>
    <w:lvl w:ilvl="7" w:tplc="74FE9FC2" w:tentative="1">
      <w:start w:val="1"/>
      <w:numFmt w:val="bullet"/>
      <w:lvlText w:val=""/>
      <w:lvlJc w:val="left"/>
      <w:pPr>
        <w:tabs>
          <w:tab w:val="num" w:pos="5760"/>
        </w:tabs>
        <w:ind w:left="5760" w:hanging="360"/>
      </w:pPr>
      <w:rPr>
        <w:rFonts w:ascii="Wingdings 2" w:hAnsi="Wingdings 2" w:hint="default"/>
      </w:rPr>
    </w:lvl>
    <w:lvl w:ilvl="8" w:tplc="50202C2E"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507348"/>
    <w:rsid w:val="00060F27"/>
    <w:rsid w:val="000A785E"/>
    <w:rsid w:val="000B7A35"/>
    <w:rsid w:val="000C0C07"/>
    <w:rsid w:val="000D52CA"/>
    <w:rsid w:val="00197DFC"/>
    <w:rsid w:val="001D70F8"/>
    <w:rsid w:val="0020036B"/>
    <w:rsid w:val="00290B3B"/>
    <w:rsid w:val="00307FD4"/>
    <w:rsid w:val="003A5C7B"/>
    <w:rsid w:val="003C7287"/>
    <w:rsid w:val="003E5194"/>
    <w:rsid w:val="003E7BB3"/>
    <w:rsid w:val="004073F0"/>
    <w:rsid w:val="00417DB0"/>
    <w:rsid w:val="00430B3B"/>
    <w:rsid w:val="0043321B"/>
    <w:rsid w:val="004B58C7"/>
    <w:rsid w:val="004B79F8"/>
    <w:rsid w:val="004F5BE1"/>
    <w:rsid w:val="00507348"/>
    <w:rsid w:val="005160D3"/>
    <w:rsid w:val="00546AEB"/>
    <w:rsid w:val="005560E5"/>
    <w:rsid w:val="00570F82"/>
    <w:rsid w:val="005C3EC2"/>
    <w:rsid w:val="00666E80"/>
    <w:rsid w:val="006A70E0"/>
    <w:rsid w:val="006D5BC2"/>
    <w:rsid w:val="006F6D21"/>
    <w:rsid w:val="007404E6"/>
    <w:rsid w:val="00754416"/>
    <w:rsid w:val="007974B6"/>
    <w:rsid w:val="007B62B7"/>
    <w:rsid w:val="0086626A"/>
    <w:rsid w:val="008C593A"/>
    <w:rsid w:val="00937E8E"/>
    <w:rsid w:val="00954E37"/>
    <w:rsid w:val="009E554C"/>
    <w:rsid w:val="00AF1B76"/>
    <w:rsid w:val="00B15204"/>
    <w:rsid w:val="00B628F0"/>
    <w:rsid w:val="00BE1591"/>
    <w:rsid w:val="00BF5780"/>
    <w:rsid w:val="00C11E31"/>
    <w:rsid w:val="00C42862"/>
    <w:rsid w:val="00C67ED0"/>
    <w:rsid w:val="00CC2366"/>
    <w:rsid w:val="00D053D9"/>
    <w:rsid w:val="00D15A24"/>
    <w:rsid w:val="00D67A6C"/>
    <w:rsid w:val="00DE47E5"/>
    <w:rsid w:val="00E21392"/>
    <w:rsid w:val="00EE7ABC"/>
    <w:rsid w:val="00F56192"/>
    <w:rsid w:val="00F62535"/>
    <w:rsid w:val="00F904D2"/>
    <w:rsid w:val="00FB45AE"/>
    <w:rsid w:val="00FD0EC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E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54E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4E37"/>
    <w:rPr>
      <w:sz w:val="20"/>
      <w:szCs w:val="20"/>
    </w:rPr>
  </w:style>
  <w:style w:type="character" w:styleId="FootnoteReference">
    <w:name w:val="footnote reference"/>
    <w:basedOn w:val="DefaultParagraphFont"/>
    <w:uiPriority w:val="99"/>
    <w:semiHidden/>
    <w:unhideWhenUsed/>
    <w:rsid w:val="00954E37"/>
    <w:rPr>
      <w:vertAlign w:val="superscript"/>
    </w:rPr>
  </w:style>
  <w:style w:type="character" w:styleId="Hyperlink">
    <w:name w:val="Hyperlink"/>
    <w:basedOn w:val="DefaultParagraphFont"/>
    <w:uiPriority w:val="99"/>
    <w:unhideWhenUsed/>
    <w:rsid w:val="00954E37"/>
    <w:rPr>
      <w:color w:val="0000FF" w:themeColor="hyperlink"/>
      <w:u w:val="single"/>
    </w:rPr>
  </w:style>
  <w:style w:type="paragraph" w:styleId="BalloonText">
    <w:name w:val="Balloon Text"/>
    <w:basedOn w:val="Normal"/>
    <w:link w:val="BalloonTextChar"/>
    <w:uiPriority w:val="99"/>
    <w:semiHidden/>
    <w:unhideWhenUsed/>
    <w:rsid w:val="007404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4E6"/>
    <w:rPr>
      <w:rFonts w:ascii="Tahoma" w:hAnsi="Tahoma" w:cs="Tahoma"/>
      <w:sz w:val="16"/>
      <w:szCs w:val="16"/>
    </w:rPr>
  </w:style>
  <w:style w:type="table" w:styleId="TableGrid">
    <w:name w:val="Table Grid"/>
    <w:basedOn w:val="TableNormal"/>
    <w:uiPriority w:val="59"/>
    <w:rsid w:val="005560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A785E"/>
    <w:rPr>
      <w:i/>
      <w:iCs/>
    </w:rPr>
  </w:style>
</w:styles>
</file>

<file path=word/webSettings.xml><?xml version="1.0" encoding="utf-8"?>
<w:webSettings xmlns:r="http://schemas.openxmlformats.org/officeDocument/2006/relationships" xmlns:w="http://schemas.openxmlformats.org/wordprocessingml/2006/main">
  <w:divs>
    <w:div w:id="1047412249">
      <w:bodyDiv w:val="1"/>
      <w:marLeft w:val="0"/>
      <w:marRight w:val="0"/>
      <w:marTop w:val="0"/>
      <w:marBottom w:val="0"/>
      <w:divBdr>
        <w:top w:val="none" w:sz="0" w:space="0" w:color="auto"/>
        <w:left w:val="none" w:sz="0" w:space="0" w:color="auto"/>
        <w:bottom w:val="none" w:sz="0" w:space="0" w:color="auto"/>
        <w:right w:val="none" w:sz="0" w:space="0" w:color="auto"/>
      </w:divBdr>
      <w:divsChild>
        <w:div w:id="744255340">
          <w:marLeft w:val="0"/>
          <w:marRight w:val="0"/>
          <w:marTop w:val="0"/>
          <w:marBottom w:val="0"/>
          <w:divBdr>
            <w:top w:val="none" w:sz="0" w:space="0" w:color="auto"/>
            <w:left w:val="none" w:sz="0" w:space="0" w:color="auto"/>
            <w:bottom w:val="none" w:sz="0" w:space="0" w:color="auto"/>
            <w:right w:val="none" w:sz="0" w:space="0" w:color="auto"/>
          </w:divBdr>
          <w:divsChild>
            <w:div w:id="2068067319">
              <w:marLeft w:val="0"/>
              <w:marRight w:val="0"/>
              <w:marTop w:val="0"/>
              <w:marBottom w:val="0"/>
              <w:divBdr>
                <w:top w:val="none" w:sz="0" w:space="0" w:color="auto"/>
                <w:left w:val="none" w:sz="0" w:space="0" w:color="auto"/>
                <w:bottom w:val="none" w:sz="0" w:space="0" w:color="auto"/>
                <w:right w:val="none" w:sz="0" w:space="0" w:color="auto"/>
              </w:divBdr>
              <w:divsChild>
                <w:div w:id="1498302915">
                  <w:marLeft w:val="0"/>
                  <w:marRight w:val="0"/>
                  <w:marTop w:val="0"/>
                  <w:marBottom w:val="0"/>
                  <w:divBdr>
                    <w:top w:val="none" w:sz="0" w:space="0" w:color="auto"/>
                    <w:left w:val="none" w:sz="0" w:space="0" w:color="auto"/>
                    <w:bottom w:val="none" w:sz="0" w:space="0" w:color="auto"/>
                    <w:right w:val="none" w:sz="0" w:space="0" w:color="auto"/>
                  </w:divBdr>
                </w:div>
                <w:div w:id="1852721040">
                  <w:marLeft w:val="0"/>
                  <w:marRight w:val="0"/>
                  <w:marTop w:val="0"/>
                  <w:marBottom w:val="0"/>
                  <w:divBdr>
                    <w:top w:val="none" w:sz="0" w:space="0" w:color="auto"/>
                    <w:left w:val="none" w:sz="0" w:space="0" w:color="auto"/>
                    <w:bottom w:val="none" w:sz="0" w:space="0" w:color="auto"/>
                    <w:right w:val="none" w:sz="0" w:space="0" w:color="auto"/>
                  </w:divBdr>
                </w:div>
                <w:div w:id="1789280390">
                  <w:marLeft w:val="0"/>
                  <w:marRight w:val="0"/>
                  <w:marTop w:val="0"/>
                  <w:marBottom w:val="0"/>
                  <w:divBdr>
                    <w:top w:val="none" w:sz="0" w:space="0" w:color="auto"/>
                    <w:left w:val="none" w:sz="0" w:space="0" w:color="auto"/>
                    <w:bottom w:val="none" w:sz="0" w:space="0" w:color="auto"/>
                    <w:right w:val="none" w:sz="0" w:space="0" w:color="auto"/>
                  </w:divBdr>
                </w:div>
                <w:div w:id="1726491762">
                  <w:marLeft w:val="0"/>
                  <w:marRight w:val="0"/>
                  <w:marTop w:val="0"/>
                  <w:marBottom w:val="0"/>
                  <w:divBdr>
                    <w:top w:val="none" w:sz="0" w:space="0" w:color="auto"/>
                    <w:left w:val="none" w:sz="0" w:space="0" w:color="auto"/>
                    <w:bottom w:val="none" w:sz="0" w:space="0" w:color="auto"/>
                    <w:right w:val="none" w:sz="0" w:space="0" w:color="auto"/>
                  </w:divBdr>
                </w:div>
                <w:div w:id="776095805">
                  <w:marLeft w:val="0"/>
                  <w:marRight w:val="0"/>
                  <w:marTop w:val="0"/>
                  <w:marBottom w:val="0"/>
                  <w:divBdr>
                    <w:top w:val="none" w:sz="0" w:space="0" w:color="auto"/>
                    <w:left w:val="none" w:sz="0" w:space="0" w:color="auto"/>
                    <w:bottom w:val="none" w:sz="0" w:space="0" w:color="auto"/>
                    <w:right w:val="none" w:sz="0" w:space="0" w:color="auto"/>
                  </w:divBdr>
                </w:div>
                <w:div w:id="206402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667182">
      <w:bodyDiv w:val="1"/>
      <w:marLeft w:val="0"/>
      <w:marRight w:val="0"/>
      <w:marTop w:val="0"/>
      <w:marBottom w:val="0"/>
      <w:divBdr>
        <w:top w:val="none" w:sz="0" w:space="0" w:color="auto"/>
        <w:left w:val="none" w:sz="0" w:space="0" w:color="auto"/>
        <w:bottom w:val="none" w:sz="0" w:space="0" w:color="auto"/>
        <w:right w:val="none" w:sz="0" w:space="0" w:color="auto"/>
      </w:divBdr>
      <w:divsChild>
        <w:div w:id="680354859">
          <w:marLeft w:val="432"/>
          <w:marRight w:val="0"/>
          <w:marTop w:val="80"/>
          <w:marBottom w:val="28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rporateeurope.org/trade/2013/10/brave-new-transatlantic-partnership-social-environmental-consequences-proposed-eu-us"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www.monde-diplomatique.fr/2013/11/WALLACH/49803" TargetMode="External"/><Relationship Id="rId7" Type="http://schemas.openxmlformats.org/officeDocument/2006/relationships/hyperlink" Target="http://www.s2bnetwork.org/" TargetMode="External"/><Relationship Id="rId2" Type="http://schemas.openxmlformats.org/officeDocument/2006/relationships/hyperlink" Target="http://corporateeurope.org/trade/2013/09/european-commission-preparing-eu-us-trade-talks-119-meetings-industry-lobbyists" TargetMode="External"/><Relationship Id="rId1" Type="http://schemas.openxmlformats.org/officeDocument/2006/relationships/hyperlink" Target="http://gerardchoplin.wordpress.com/2013/12/06/libre-echange-ou-protectionnisme-protection-ou-libre-echangisme/" TargetMode="External"/><Relationship Id="rId6" Type="http://schemas.openxmlformats.org/officeDocument/2006/relationships/hyperlink" Target="http://www.nppc.org/wp-content/uploads/2013-03-04-Ag-Coalition-US-EU-FTA.pdf" TargetMode="External"/><Relationship Id="rId5" Type="http://schemas.openxmlformats.org/officeDocument/2006/relationships/hyperlink" Target="http://www.solidarite.asso.fr/IMG/pdf/La_folie_d_integrer_l_agriculture_dans_le_PTCI_27-08-13.pdf" TargetMode="External"/><Relationship Id="rId4" Type="http://schemas.openxmlformats.org/officeDocument/2006/relationships/hyperlink" Target="http://www.jennar.fr/?p=31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9B8703-5748-407F-976B-452D85565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4</Pages>
  <Words>1352</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Gérard</dc:creator>
  <cp:lastModifiedBy>Gérard</cp:lastModifiedBy>
  <cp:revision>16</cp:revision>
  <cp:lastPrinted>2014-02-05T11:25:00Z</cp:lastPrinted>
  <dcterms:created xsi:type="dcterms:W3CDTF">2014-02-02T17:12:00Z</dcterms:created>
  <dcterms:modified xsi:type="dcterms:W3CDTF">2014-02-05T15:52:00Z</dcterms:modified>
</cp:coreProperties>
</file>